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97" w:type="pct"/>
        <w:tblLook w:val="01E0" w:firstRow="1" w:lastRow="1" w:firstColumn="1" w:lastColumn="1" w:noHBand="0" w:noVBand="0"/>
      </w:tblPr>
      <w:tblGrid>
        <w:gridCol w:w="5033"/>
        <w:gridCol w:w="4895"/>
      </w:tblGrid>
      <w:tr w:rsidR="00F638A6" w:rsidTr="004873F0">
        <w:tc>
          <w:tcPr>
            <w:tcW w:w="5000" w:type="pct"/>
            <w:gridSpan w:val="2"/>
          </w:tcPr>
          <w:p w:rsidR="00F638A6" w:rsidRPr="00CF517E" w:rsidRDefault="00CF517E">
            <w:pPr>
              <w:pStyle w:val="210"/>
              <w:ind w:right="-1" w:firstLine="0"/>
              <w:contextualSpacing/>
              <w:jc w:val="center"/>
              <w:rPr>
                <w:color w:val="000000"/>
                <w:highlight w:val="white"/>
              </w:rPr>
            </w:pPr>
            <w:r w:rsidRPr="00CF517E">
              <w:rPr>
                <w:noProof/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alt="emblem" style="width:43.5pt;height:51.75pt;visibility:visible;mso-wrap-style:square">
                  <v:imagedata r:id="rId7" o:title="emblem"/>
                </v:shape>
              </w:pict>
            </w:r>
          </w:p>
        </w:tc>
      </w:tr>
      <w:tr w:rsidR="00F638A6" w:rsidTr="004873F0">
        <w:tc>
          <w:tcPr>
            <w:tcW w:w="5000" w:type="pct"/>
            <w:gridSpan w:val="2"/>
          </w:tcPr>
          <w:p w:rsidR="00F638A6" w:rsidRPr="00CF517E" w:rsidRDefault="00CF517E">
            <w:pPr>
              <w:pStyle w:val="210"/>
              <w:spacing w:after="40"/>
              <w:ind w:firstLine="0"/>
              <w:jc w:val="center"/>
              <w:rPr>
                <w:b/>
                <w:color w:val="000000"/>
                <w:sz w:val="30"/>
                <w:szCs w:val="30"/>
                <w:highlight w:val="white"/>
              </w:rPr>
            </w:pPr>
            <w:r w:rsidRPr="00CF517E">
              <w:rPr>
                <w:b/>
                <w:color w:val="000000"/>
                <w:sz w:val="30"/>
                <w:szCs w:val="30"/>
                <w:highlight w:val="white"/>
              </w:rPr>
              <w:t>Управление ветеринарии Новосибирской области</w:t>
            </w:r>
          </w:p>
        </w:tc>
      </w:tr>
      <w:tr w:rsidR="00F638A6" w:rsidTr="004873F0">
        <w:trPr>
          <w:trHeight w:val="299"/>
        </w:trPr>
        <w:tc>
          <w:tcPr>
            <w:tcW w:w="5000" w:type="pct"/>
            <w:gridSpan w:val="2"/>
          </w:tcPr>
          <w:p w:rsidR="00F638A6" w:rsidRPr="00CF517E" w:rsidRDefault="00F638A6">
            <w:pPr>
              <w:pStyle w:val="210"/>
              <w:ind w:right="-1" w:firstLine="0"/>
              <w:jc w:val="center"/>
              <w:rPr>
                <w:color w:val="000000"/>
                <w:highlight w:val="white"/>
              </w:rPr>
            </w:pPr>
          </w:p>
        </w:tc>
      </w:tr>
      <w:tr w:rsidR="00F638A6" w:rsidTr="004873F0">
        <w:trPr>
          <w:trHeight w:val="387"/>
        </w:trPr>
        <w:tc>
          <w:tcPr>
            <w:tcW w:w="5000" w:type="pct"/>
            <w:gridSpan w:val="2"/>
          </w:tcPr>
          <w:p w:rsidR="00F638A6" w:rsidRPr="00CF517E" w:rsidRDefault="00F638A6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</w:p>
        </w:tc>
      </w:tr>
      <w:tr w:rsidR="00F638A6" w:rsidTr="004873F0">
        <w:tc>
          <w:tcPr>
            <w:tcW w:w="5000" w:type="pct"/>
            <w:gridSpan w:val="2"/>
          </w:tcPr>
          <w:p w:rsidR="004873F0" w:rsidRDefault="004873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  <w:bookmarkStart w:id="0" w:name="_GoBack"/>
            <w:r w:rsidRPr="004873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  <w:t>Акт № 10-07-04</w:t>
            </w:r>
          </w:p>
          <w:p w:rsidR="00F638A6" w:rsidRPr="00CF517E" w:rsidRDefault="00CF51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 w:rsidRPr="00CF517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  <w:t xml:space="preserve">плановой камеральной (документарной) проверки соблюдения требований Федерального закона от 18.07.2011 № 223-ФЗ «О закупках товаров, работ, услуг отдельными видами юридических лиц» </w:t>
            </w:r>
            <w:r w:rsidRPr="00CF517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  <w:t>и иных принятых в соответствии с ним нормативных правовых актов Российской Федерации государственным бюджетным учреждением Новосибирской области «Управление ветеринарии Барабинского района Новосибирской области»</w:t>
            </w:r>
            <w:bookmarkEnd w:id="0"/>
          </w:p>
        </w:tc>
      </w:tr>
      <w:tr w:rsidR="00F638A6" w:rsidTr="004873F0">
        <w:tc>
          <w:tcPr>
            <w:tcW w:w="5000" w:type="pct"/>
            <w:gridSpan w:val="2"/>
          </w:tcPr>
          <w:p w:rsidR="00F638A6" w:rsidRPr="00CF517E" w:rsidRDefault="00F638A6">
            <w:pPr>
              <w:pStyle w:val="210"/>
              <w:ind w:right="-1" w:firstLine="0"/>
              <w:rPr>
                <w:color w:val="000000"/>
                <w:highlight w:val="white"/>
              </w:rPr>
            </w:pPr>
          </w:p>
        </w:tc>
      </w:tr>
      <w:tr w:rsidR="00F638A6" w:rsidTr="004873F0">
        <w:tc>
          <w:tcPr>
            <w:tcW w:w="2535" w:type="pct"/>
          </w:tcPr>
          <w:p w:rsidR="00F638A6" w:rsidRPr="00CF517E" w:rsidRDefault="00CF517E">
            <w:pPr>
              <w:pStyle w:val="210"/>
              <w:ind w:right="-1" w:firstLine="0"/>
              <w:rPr>
                <w:color w:val="000000"/>
                <w:highlight w:val="white"/>
              </w:rPr>
            </w:pPr>
            <w:r w:rsidRPr="00CF517E">
              <w:rPr>
                <w:color w:val="000000"/>
                <w:szCs w:val="28"/>
                <w:highlight w:val="white"/>
              </w:rPr>
              <w:t xml:space="preserve">г. Новосибирск                     </w:t>
            </w:r>
          </w:p>
        </w:tc>
        <w:tc>
          <w:tcPr>
            <w:tcW w:w="2465" w:type="pct"/>
          </w:tcPr>
          <w:p w:rsidR="00F638A6" w:rsidRPr="00CF517E" w:rsidRDefault="00CF517E">
            <w:pPr>
              <w:pStyle w:val="210"/>
              <w:ind w:right="-1" w:firstLine="0"/>
              <w:jc w:val="right"/>
              <w:rPr>
                <w:color w:val="000000"/>
                <w:highlight w:val="white"/>
              </w:rPr>
            </w:pPr>
            <w:r w:rsidRPr="00CF517E">
              <w:rPr>
                <w:color w:val="000000"/>
                <w:szCs w:val="28"/>
              </w:rPr>
              <w:t>01.10</w:t>
            </w:r>
            <w:r w:rsidRPr="00CF517E">
              <w:rPr>
                <w:color w:val="000000"/>
                <w:szCs w:val="28"/>
              </w:rPr>
              <w:t>.</w:t>
            </w:r>
            <w:r w:rsidRPr="00CF517E">
              <w:rPr>
                <w:color w:val="000000"/>
                <w:szCs w:val="28"/>
                <w:highlight w:val="white"/>
              </w:rPr>
              <w:t>2</w:t>
            </w:r>
            <w:r w:rsidRPr="00CF517E">
              <w:rPr>
                <w:color w:val="000000"/>
                <w:szCs w:val="28"/>
                <w:highlight w:val="white"/>
              </w:rPr>
              <w:t>025</w:t>
            </w:r>
          </w:p>
        </w:tc>
      </w:tr>
      <w:tr w:rsidR="00F638A6" w:rsidTr="004873F0">
        <w:tc>
          <w:tcPr>
            <w:tcW w:w="5000" w:type="pct"/>
            <w:gridSpan w:val="2"/>
          </w:tcPr>
          <w:p w:rsidR="00F638A6" w:rsidRPr="00CF517E" w:rsidRDefault="00F638A6">
            <w:pPr>
              <w:pStyle w:val="210"/>
              <w:ind w:right="-1" w:firstLine="0"/>
              <w:rPr>
                <w:color w:val="000000"/>
                <w:highlight w:val="white"/>
              </w:rPr>
            </w:pPr>
          </w:p>
        </w:tc>
      </w:tr>
    </w:tbl>
    <w:p w:rsidR="00F638A6" w:rsidRDefault="00F638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F638A6" w:rsidRDefault="00CF51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Управлением ветеринарии Новосибирской области (далее - Управление), на основании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статьи 6.1. Федерального закона «О закупках товаров, работ, услуг отдельными видами юридических лиц» от 18.07.2011 № 223-ФЗ,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п. 5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Порядка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осуществления ведомственного контроля за соблюдением требований Федерального закона от 18.07.2011 № 223-ФЗ «О закупках товаров, работ, услуг отдельными видами юридических лиц» и иных принятых в соответствии с ним, нормативных правовых актов Российской Фед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ерации, утвержденного постановлением Правительства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Новосибирской области от 26.08.2019 № 354-п (далее - Порядок от 26.08.2019 № 354-п)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 соответствии с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планом проверки с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облюдения государственными бюджетными учреждениями Новосибирской области, подведомственными управлению ветеринарии Новосибирской области требований Федерального закона от 18.07.2011 № 223-ФЗ «О закупках товаров, работ, услуг отдельными видами юридических л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иц» и иных принятых в соответствии с ним нормативных правовых актов Российской Федерации на 2025 год (в редакции от 11.08.2025)</w:t>
      </w:r>
      <w:r>
        <w:rPr>
          <w:rFonts w:ascii="Times New Roman" w:eastAsia="Times New Roman" w:hAnsi="Times New Roman"/>
          <w:iCs/>
          <w:sz w:val="28"/>
          <w:szCs w:val="28"/>
          <w:highlight w:val="white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приказом управления ветеринарии Новосибирской области от 12.08.2025  № 223,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в государственном бюджетном учреждении Новосибирско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й области «Управление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ветеринарии Барабинского района Новосибирской области» </w:t>
      </w:r>
      <w:r>
        <w:rPr>
          <w:rFonts w:ascii="Times New Roman" w:eastAsia="Times New Roman" w:hAnsi="Times New Roman"/>
          <w:spacing w:val="-4"/>
          <w:sz w:val="28"/>
          <w:szCs w:val="28"/>
          <w:highlight w:val="white"/>
        </w:rPr>
        <w:t>(далее – Учреждение, Заказчик)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проведена </w:t>
      </w:r>
      <w:bookmarkStart w:id="1" w:name="undefined"/>
      <w:bookmarkEnd w:id="1"/>
      <w:r>
        <w:rPr>
          <w:rFonts w:ascii="Times New Roman" w:eastAsia="Times New Roman" w:hAnsi="Times New Roman"/>
          <w:sz w:val="28"/>
          <w:szCs w:val="28"/>
          <w:highlight w:val="white"/>
        </w:rPr>
        <w:t>плановая камеральная (документарная) проверка соблюдения требований Федерального закона от 18.07.2011 № 223-ФЗ «О закупках товаров, работ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, услуг отдельными видами юридических лиц» и иных принятых в соответствии с ним нормативных правовых актов Российской Федерации.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ИНН Учреждения: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5418100786.</w:t>
      </w:r>
    </w:p>
    <w:p w:rsidR="00F638A6" w:rsidRDefault="00CF517E">
      <w:pPr>
        <w:tabs>
          <w:tab w:val="left" w:pos="993"/>
          <w:tab w:val="left" w:pos="99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Адрес местонахождения Учреждения: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632336, Новосибирская область, г. Барабинск, ул. Гутова, 24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Должностное лицо, уполномоченное на проведение проверки: консультант Управления В.В. Петренко.</w:t>
      </w:r>
    </w:p>
    <w:p w:rsidR="00F638A6" w:rsidRDefault="00CF51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>Вид осуществленного контроля: ведомственный.</w:t>
      </w:r>
    </w:p>
    <w:p w:rsidR="00F638A6" w:rsidRDefault="00CF51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Форма проведения проверки: плановая.</w:t>
      </w:r>
    </w:p>
    <w:p w:rsidR="00F638A6" w:rsidRDefault="00CF51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Способ проведения проверки: выборочный.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Цель и предмет проверки: соблюдение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Учр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еждением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совокупности требований, предъявляемых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законом от 18.07.2011 № 223-ФЗ «О закупках товаров, работ, услуг отдельными видами юридических лиц» (далее – Закон) и иных принятых в соответствии с ним нормативных правовых актов Российской Федерации.</w:t>
      </w:r>
    </w:p>
    <w:p w:rsidR="00F638A6" w:rsidRDefault="00CF51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Провер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енный период: с 01.01.2024 по 31.12.2024.</w:t>
      </w:r>
    </w:p>
    <w:p w:rsidR="00F638A6" w:rsidRDefault="00CF51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Срок проведения проверки: </w:t>
      </w:r>
      <w:r>
        <w:rPr>
          <w:rFonts w:ascii="Times New Roman" w:eastAsia="Times New Roman" w:hAnsi="Times New Roman"/>
          <w:iCs/>
          <w:sz w:val="28"/>
          <w:szCs w:val="28"/>
          <w:highlight w:val="white"/>
          <w:lang w:eastAsia="ru-RU"/>
        </w:rPr>
        <w:t>с 20.08.2025 по 05.09.2025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/>
          <w:iCs/>
          <w:sz w:val="28"/>
          <w:szCs w:val="28"/>
          <w:highlight w:val="white"/>
          <w:lang w:eastAsia="ru-RU"/>
        </w:rPr>
        <w:t>с 01.10.2025 по 02.10.2025.</w:t>
      </w:r>
    </w:p>
    <w:p w:rsidR="00F638A6" w:rsidRDefault="00CF517E">
      <w:pPr>
        <w:tabs>
          <w:tab w:val="left" w:pos="993"/>
          <w:tab w:val="left" w:pos="3421"/>
          <w:tab w:val="left" w:pos="99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В проверяемом периоде возглавляли Учреждение:</w:t>
      </w:r>
    </w:p>
    <w:p w:rsidR="00F638A6" w:rsidRDefault="00CF517E">
      <w:pPr>
        <w:tabs>
          <w:tab w:val="left" w:pos="993"/>
          <w:tab w:val="left" w:pos="3421"/>
          <w:tab w:val="left" w:pos="99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- с 01.01.2024 по 21.02.2024 и.о. начальника Учреждения О.А. Бобренок (приказ Управлен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ия от 03.07.2023 № 223-к);</w:t>
      </w:r>
    </w:p>
    <w:p w:rsidR="00F638A6" w:rsidRDefault="00CF517E">
      <w:pPr>
        <w:tabs>
          <w:tab w:val="left" w:pos="993"/>
          <w:tab w:val="left" w:pos="3421"/>
          <w:tab w:val="left" w:pos="99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- с 21.02.2024 по 08.05.2024  начальник Учреждения О.А. Бобренок  (приказ Управления от 21.02.2024 № 30-лс);</w:t>
      </w:r>
    </w:p>
    <w:p w:rsidR="00F638A6" w:rsidRDefault="00CF517E">
      <w:pPr>
        <w:tabs>
          <w:tab w:val="left" w:pos="993"/>
          <w:tab w:val="left" w:pos="3421"/>
          <w:tab w:val="left" w:pos="99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- с 08.05.2024 по 03.07.2024 и.о. начальника Учреждения О.А. Бобренок (приказ Управления от 08.05.2024 № 130-к);</w:t>
      </w:r>
    </w:p>
    <w:p w:rsidR="00F638A6" w:rsidRDefault="00CF517E">
      <w:pPr>
        <w:tabs>
          <w:tab w:val="left" w:pos="993"/>
          <w:tab w:val="left" w:pos="3421"/>
          <w:tab w:val="left" w:pos="992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- 08.11.2004 по 31.12.2024 начальник Учреждения М.С. Дубовиков (приказ Управления от 08.11.2024 № 241-лс)</w:t>
      </w:r>
      <w:r>
        <w:rPr>
          <w:highlight w:val="white"/>
        </w:rPr>
        <w:t>.</w:t>
      </w:r>
    </w:p>
    <w:p w:rsidR="00F638A6" w:rsidRDefault="00CF51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В проверяемом периоде Учреждение осуществляло деятельность на основании устава, утвержденного приказом Управления от 14.06.2022 № 390, с изменениями,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утвержденными приказами Управления: от 25.08.2022 № 458, от 16.10.2023 № 257, от 20.08.2024 № 212.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В ходе проверки изучены (исследованы) сведения и документы, размещенные Заказчиком в единой информационной системе в сфере закупок (далее – ЕИС), государств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енной информационной системе в сфере закупок Новосибирской области (далее - ГИСЗ).</w:t>
      </w:r>
    </w:p>
    <w:p w:rsidR="00F638A6" w:rsidRDefault="00F638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F638A6" w:rsidRDefault="00CF51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Проверкой установлено:</w:t>
      </w:r>
    </w:p>
    <w:p w:rsidR="00F638A6" w:rsidRDefault="00CF51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1. Соблюдение Учреждением отдельных требований </w:t>
      </w:r>
      <w:hyperlink r:id="rId8" w:tooltip="consultantplus://offline/ref=FF1DC80C9163EC6D5F01BC8C85036C6024BD80A35FC54B55948E30B33428829AAAA7ED0A34ACF6FFDED8ADC08Di8FCD" w:history="1">
        <w:r>
          <w:rPr>
            <w:rFonts w:ascii="Times New Roman" w:eastAsia="Times New Roman" w:hAnsi="Times New Roman"/>
            <w:b/>
            <w:sz w:val="28"/>
            <w:szCs w:val="28"/>
            <w:highlight w:val="white"/>
          </w:rPr>
          <w:t>Закона</w:t>
        </w:r>
      </w:hyperlink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 и иных принятых в соответствии с ним нормативных правовых актов Российской Федерации в части формирования единой комиссии по осуществлению закупок.</w:t>
      </w:r>
    </w:p>
    <w:p w:rsidR="00F638A6" w:rsidRDefault="00CF51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 проверяемом периоде функционал специалиста в сфере закупок  исполнял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А. В. Чигирев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(пр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иказ Учреждения от 23.03.2021 № 105)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F638A6" w:rsidRDefault="00CF51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К проверке представлен приказ Учреждения от 15.01.2022 № 66 о создании единой комиссии по размещению заказов (далее -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Комиссия).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:rsidR="00F638A6" w:rsidRDefault="00CF51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В соответствии с п.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3.3.3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Положения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 закупках товаров, работ, услуг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государственного бюджетного учреждения Новосибирской области «Управление ветеринарии Барабинского района Новосибирской области»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(далее - Положение о закупке)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численность Комиссии,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составила 5 человек.</w:t>
      </w:r>
    </w:p>
    <w:p w:rsidR="00F638A6" w:rsidRDefault="00F638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F638A6" w:rsidRDefault="00F638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F638A6" w:rsidRDefault="00F638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F638A6" w:rsidRDefault="00CF5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2. </w:t>
      </w: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 xml:space="preserve">Проверка соблюдения 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информационного </w:t>
      </w: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обеспечения закупок.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 xml:space="preserve">2.1 Проверка </w:t>
      </w: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соблюдения требований законодательства к размещению в ЕИС Положения о закупке</w:t>
      </w: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.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П. 11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«Положения о размещении в единой информационной системе, на официальном сайте такой системы в информационно-телекоммуникационной сети «Ин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тернет» положения о закупке, типового положения о закупке, информации о закупке», утвержденного Постановлением Правительства РФ от 10.09.2012 № 908 (далее - Положение от 10.09.2012 № 908)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установлено, что Положение о закупке считается размещенным в ЕИС над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лежащим образом после размещения в соответствии с п. 4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Положения от 10.09.2012 № 908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в ЕИС документов, предусмотренных п. 10 данного Положения.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нарушение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пп. а п. 10 Положения от 10.09.2012 № 908, Положение </w:t>
      </w:r>
      <w:r>
        <w:rPr>
          <w:rFonts w:ascii="Times New Roman" w:hAnsi="Times New Roman"/>
          <w:sz w:val="28"/>
          <w:szCs w:val="28"/>
          <w:highlight w:val="white"/>
        </w:rPr>
        <w:t>о закупке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принятое (утвержденное) до начала 20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24 года,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не размещено в соответствии с требованиями законодательства Российской Федерации в сфере закупок товаров, работ, услуг отдельными видами юридических лиц (размещено ненадлежащим образом)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, а именно в ЕИС не размещено Положение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 закупке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в электронно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м виде,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что повлекло нарушение п. 11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Положения от 10.09.2012 № 908.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Нарушение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пп. а п. 10,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п. 11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Положения от 10.09.2012 № 908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содержит признаки состава административного правонарушения, предусмотренного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ч. 2 ст. 7.30.4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Кодекса Российской Федерации об административных правонарушениях (далее -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КоАП).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нарушение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п. 12 Положения от 10.09.2012 № 908,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изменения, вносимые в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Положение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 закупке в 2024 году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приказами Управления: </w:t>
      </w:r>
      <w:r>
        <w:rPr>
          <w:rFonts w:ascii="Times New Roman" w:hAnsi="Times New Roman"/>
          <w:sz w:val="28"/>
          <w:szCs w:val="28"/>
          <w:highlight w:val="white"/>
        </w:rPr>
        <w:t>от 07.03.2024 № 64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</w:rPr>
        <w:t>от 16.04.2024 № 103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</w:rPr>
        <w:t>от 12.11.</w:t>
      </w:r>
      <w:r>
        <w:rPr>
          <w:rFonts w:ascii="Times New Roman" w:hAnsi="Times New Roman"/>
          <w:sz w:val="28"/>
          <w:szCs w:val="28"/>
          <w:highlight w:val="white"/>
        </w:rPr>
        <w:t xml:space="preserve">2024 № 316,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не размещены в ЕИС в соответствии с требованиями законодательства Российской Федерации в сфере закупок товаров, работ, услуг отдельными видами юридических лиц, то есть размещены ненадлежащим образом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, а именно в ЕИС не размещены в электронном ви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де измененные (актуализированные) Положения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о закупке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в редакции указанных приказов,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что повлекло нарушение п. 13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Положения от 10.09.2012 № 908.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highlight w:val="white"/>
        </w:rPr>
        <w:t xml:space="preserve"> 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Нарушение п. 12, п. 13 Положения от 10.09.2012 № 908 содержит признаки состава админис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тративного правонарушения, предусмотренного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ч. 2 ст. 7.30.4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КоАП.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 xml:space="preserve">2.2 Проверка </w:t>
      </w: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соблюдения требований законодательства к размещению  в ЕИС п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>лана закупки товаров, работ, услуг (далее - план закупки).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 нарушение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ч. 2 ст. 4 Закона,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п. 14.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Положения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от 10.09.2012 № 908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, п. 3.6.1 Положения о закупке</w:t>
      </w:r>
      <w:r>
        <w:rPr>
          <w:rFonts w:ascii="Times New Roman" w:hAnsi="Times New Roman"/>
          <w:sz w:val="28"/>
          <w:szCs w:val="28"/>
          <w:highlight w:val="white"/>
        </w:rPr>
        <w:t>;</w:t>
      </w:r>
    </w:p>
    <w:p w:rsidR="00F638A6" w:rsidRDefault="00CF517E">
      <w:pPr>
        <w:pStyle w:val="a3"/>
        <w:tabs>
          <w:tab w:val="left" w:pos="993"/>
        </w:tabs>
        <w:spacing w:after="0" w:line="242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 план закупки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на 2024 год, в 2023 году в ЕИС не размещался (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размещение плана закупки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на 2024 год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в ЕИС осуществлено 16.01.2024);</w:t>
      </w:r>
    </w:p>
    <w:p w:rsidR="00F638A6" w:rsidRDefault="00CF517E">
      <w:pPr>
        <w:pStyle w:val="a3"/>
        <w:tabs>
          <w:tab w:val="left" w:pos="993"/>
        </w:tabs>
        <w:spacing w:after="0" w:line="242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- размещение информации о внесении изменений в план закупки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на 2024 год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09.01.2024 в ЕИС осуществлено позднее 10 календарных дней с даты внесения в него изменений - 22.01.2024.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 xml:space="preserve">Нарушение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ч. 2 ст. 4 Закона,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п. 14.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Положения от 10.09.2012 № 908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, п. 3.6.1 Положения о закупке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содержит признаки состава административного правонаруше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ния, предусмотренного ч. 2 ст. 7.30.4 КоАП.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П. 18 </w:t>
      </w:r>
      <w:r>
        <w:rPr>
          <w:rFonts w:ascii="Times New Roman" w:hAnsi="Times New Roman"/>
          <w:sz w:val="28"/>
          <w:szCs w:val="28"/>
          <w:highlight w:val="white"/>
        </w:rPr>
        <w:t>Положения</w:t>
      </w:r>
      <w:r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 от 10.09.2012 № 908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установлено, что</w:t>
      </w:r>
      <w:r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для размещения информации о внесении изменений в </w:t>
      </w:r>
      <w:r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план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закупки представитель заказчика в порядке, предусмотренном пунктом 15 настоящего положения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, вносит изменения в структурированный вид плана закупки и (или) размещает измененный электронный вид плана закупки либо вносит изменения в структурированный вид плана закупки и размещает измененный графический вид плана закупки, а также размещает электрон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ный вид документа, предусмотренного пунктом 5 настоящего положения.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П. 5 Положения</w:t>
      </w:r>
      <w:r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 от 10.09.2012 № 908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установлено, </w:t>
      </w:r>
      <w:r>
        <w:rPr>
          <w:rFonts w:ascii="Times New Roman" w:hAnsi="Times New Roman"/>
          <w:sz w:val="28"/>
          <w:szCs w:val="28"/>
          <w:highlight w:val="white"/>
        </w:rPr>
        <w:t xml:space="preserve">что изменение размещенной в единой информационной системе информации о закупке осуществляется с размещением документа, содержащего перечень </w:t>
      </w:r>
      <w:r>
        <w:rPr>
          <w:rFonts w:ascii="Times New Roman" w:hAnsi="Times New Roman"/>
          <w:sz w:val="28"/>
          <w:szCs w:val="28"/>
          <w:highlight w:val="white"/>
        </w:rPr>
        <w:t>внесенных изменений.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нарушение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п. 18 </w:t>
      </w:r>
      <w:r>
        <w:rPr>
          <w:rFonts w:ascii="Times New Roman" w:hAnsi="Times New Roman"/>
          <w:sz w:val="28"/>
          <w:szCs w:val="28"/>
          <w:highlight w:val="white"/>
        </w:rPr>
        <w:t>Положения</w:t>
      </w:r>
      <w:r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от 10.09.2012 № 908,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 проверяемом периоде Заказчик не размещал в ЕИС электронный вид документа,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с перечнем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изменений,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внесенных в </w:t>
      </w:r>
      <w:r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план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закупки и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план закупки инновационной продукции, высокотехнологичной продукции, лекарственных средств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(приказ о внесении изменений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 </w:t>
      </w:r>
      <w:r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план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закупки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с указанием изменений),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предусмотренный пунктом 5 настоящего положения (перечень изменений).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Нарушение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п. 18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П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оложения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от 10.09.2012 № 908</w:t>
      </w:r>
      <w:r>
        <w:rPr>
          <w:rFonts w:ascii="Times New Roman" w:eastAsia="Times New Roman" w:hAnsi="Times New Roman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содержит признаки состава административного правонарушения, предусмотренного ч. 2 ст. 7.30.4 КоАП.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В нарушение п. 14 Положения от 10.09.2012 № 908, п. 2 «Правил формирования плана закупки товаров (работ, услуг)», утвержденных постановл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ением Правительства Российской Федерации от 17.09.2012 № 932 «Об утверждении правил формирования плана закупки товаров (работ, услуг) и требований к форме такого плана» (далее - Постановление № 932), размещенный в ЕИС план закупки инновационной продукции,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высокотехнологичной продукции, лекарственных средств на 2024 год, утвержденный 01.10.2024 не содержит информацию о закупках ветеринарных (лекарственных) препаратов по договору от 22.07.2024 № ЭМ 2441 на сумму 116 191,93 руб. 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Нарушение п. 14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оложения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от 10.09.2012 № 908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,</w:t>
      </w:r>
      <w:r>
        <w:rPr>
          <w:rFonts w:ascii="Times New Roman" w:hAnsi="Times New Roman"/>
          <w:sz w:val="28"/>
          <w:szCs w:val="28"/>
          <w:highlight w:val="white"/>
        </w:rPr>
        <w:t xml:space="preserve"> п. 2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Постановления № 932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содержат признаки состава административного правонарушения, предусмотренного ч. 2 ст. 7.30.4 КоАП.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В нарушение п. 3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правил формирования плана закупки товаров (работ, услуг),</w:t>
      </w:r>
      <w:r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 пп. 1 п.1 требований к форме плана </w:t>
      </w:r>
      <w:r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закупки товаров (работ, услуг), утвержденных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Постановлением № 932</w:t>
      </w:r>
      <w:r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, планы закупки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на 2024 год, размещенные </w:t>
      </w:r>
      <w:r>
        <w:rPr>
          <w:rFonts w:ascii="Times New Roman" w:eastAsia="Times New Roman" w:hAnsi="Times New Roman"/>
          <w:bCs/>
          <w:sz w:val="28"/>
          <w:szCs w:val="28"/>
          <w:highlight w:val="white"/>
        </w:rPr>
        <w:t>в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ЕИС не содержат телефон Заказчика.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Нарушение п. 3 правил формирования плана закупки товаров (работ, услуг), пп. 1 п.1 требований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к форме плана закупки товаров (работ, услуг), утвержденных Постановлением № 932 содержит признаки состава административного правонарушения, предусмотренного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ч. 2 ст. 7.30.4 КоАП.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:rsidR="00F638A6" w:rsidRDefault="00F638A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F638A6" w:rsidRDefault="00F638A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F638A6" w:rsidRDefault="00CF5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 xml:space="preserve">2.3 Проверка </w:t>
      </w: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 xml:space="preserve">соблюдения требований законодательства при внесении </w:t>
      </w: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 xml:space="preserve">сведений </w:t>
      </w: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о заключенных договорах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в реестр договоров, размещаемый</w:t>
      </w: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 xml:space="preserve"> в ЕИС.</w:t>
      </w:r>
    </w:p>
    <w:p w:rsidR="00F638A6" w:rsidRDefault="00CF517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 нарушения ч. 2 ст. 4.1 Закона и п. 8.4.17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Положения о закупке,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 отдельных случаях информация о договорах в течение 3 рабочих дней со дня их заключения, не внесена Заказчиком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в реестр договоров, размещаемый в ЕИС:</w:t>
      </w:r>
    </w:p>
    <w:p w:rsidR="00F638A6" w:rsidRDefault="00CF517E">
      <w:pPr>
        <w:pStyle w:val="a3"/>
        <w:tabs>
          <w:tab w:val="left" w:pos="993"/>
        </w:tabs>
        <w:spacing w:after="0" w:line="242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1) информация о договоре от 20.09.2024 № 3196 на поверку, калибровку средств измерений, аттестацию испытательного оборудования, на сумму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196 604,64 руб.,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внесена Заказчиком в реестр договоров 09.10.2024;</w:t>
      </w:r>
    </w:p>
    <w:p w:rsidR="00F638A6" w:rsidRDefault="00CF517E">
      <w:pPr>
        <w:pStyle w:val="a3"/>
        <w:tabs>
          <w:tab w:val="left" w:pos="993"/>
        </w:tabs>
        <w:spacing w:after="0" w:line="242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2) информация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о договоре от 09.01.2024 № 654000074733 на предоставление услуг связи, на сумму 157 000,00 руб., внесена Заказчиком в реестр договоров 22.01.2024;</w:t>
      </w:r>
    </w:p>
    <w:p w:rsidR="00F638A6" w:rsidRDefault="00CF517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3) информация о договоре от 09.01.2024 № 2024/0201 на сопровождение программного продукта 1 С Бухгалтерия, н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а сумму 110 400,00 руб., внесена Заказчиком в реестр договоров 23.01.2024;</w:t>
      </w:r>
    </w:p>
    <w:p w:rsidR="00F638A6" w:rsidRDefault="00CF517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4)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информация о договоре от 01.07.2024 №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ТМ 24-11-2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на выполнение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работ по комплексному техническому обеспечению медицинской техники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на сумму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112 320,00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 руб., внесена Заказчиком в р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еестр договоров 03.09.2024;</w:t>
      </w:r>
    </w:p>
    <w:p w:rsidR="00F638A6" w:rsidRDefault="00CF517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5) информация о договоре от 22.07.2024 № ЭМ 2441 на поставку ветеринарных препаратов и товаров ветеринарного назначения на сумму 116 191,93 руб., внесена Заказчиком в реестр договоров 01.08.2024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;</w:t>
      </w:r>
    </w:p>
    <w:p w:rsidR="00F638A6" w:rsidRDefault="00CF517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6)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информация о договоре от 09.0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1.2024 №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ТМ 24-11-1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на выполнение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работ по комплексному техническому обеспечению медицинской техники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на сумму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112 320,00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 руб., внесена Заказчиком в реестр договоров 29.01.2024;</w:t>
      </w:r>
    </w:p>
    <w:p w:rsidR="00F638A6" w:rsidRDefault="00CF517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7) информация о договоре от 08.02.2024 № ЭМ 2405 на поставку  ветеринарных преп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аратов и товаров ветеринарного назначения на сумму 199 399,79 руб., внесена Заказчиком в реестр договоров 20.02.2024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;</w:t>
      </w:r>
    </w:p>
    <w:p w:rsidR="00F638A6" w:rsidRDefault="00CF517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8) информация о договоре от 07.02.2024 № ЭМ 2404 на поставку ветеринарных препаратов и товаров ветеринарного назначения на сумму 178 543,7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0 руб., внесена Заказчиком в реестр договоров 19.02.2024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.</w:t>
      </w:r>
    </w:p>
    <w:p w:rsidR="00F638A6" w:rsidRDefault="00F638A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638A6" w:rsidRDefault="00CF517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3. Объем совокупного годового объема закупок. Проверка осуществления закупок у единственного поставщика.</w:t>
      </w:r>
    </w:p>
    <w:p w:rsidR="00F638A6" w:rsidRDefault="00CF517E">
      <w:pPr>
        <w:pStyle w:val="a3"/>
        <w:tabs>
          <w:tab w:val="left" w:pos="993"/>
        </w:tabs>
        <w:spacing w:after="0" w:line="242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Согласно предоставленных данных, в 2024 году, совокупный годовой объем закупок Учреждения (д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алее - СГОЗ), составил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4 923 461,14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руб.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 нарушение пп. 4 п. 6.11.3 Положения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о закупке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, Заказчиком, у единственного поставщика осуществлены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закупки на сумму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3 819 614,21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руб., то есть,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годовой объем закупок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у единственного поставщика составил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77,57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%</w:t>
      </w:r>
      <w:r>
        <w:rPr>
          <w:rFonts w:ascii="Times New Roman" w:eastAsia="Times New Roman" w:hAnsi="Times New Roman"/>
          <w:sz w:val="28"/>
          <w:szCs w:val="28"/>
        </w:rPr>
        <w:t xml:space="preserve"> от СГОЗ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, вместо норматива 40%. Превышение норматива составило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37,57%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</w:t>
      </w:r>
    </w:p>
    <w:p w:rsidR="00F638A6" w:rsidRDefault="00F638A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F638A6" w:rsidRDefault="00CF51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4. Проверка осуществления закупок </w:t>
      </w: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конкурентными способами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.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Согласно предоставленных данных, в 2024 году, закупки конкурентными способами</w:t>
      </w:r>
      <w:r>
        <w:rPr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Учреждением не осуществлялись.</w:t>
      </w:r>
    </w:p>
    <w:p w:rsidR="00F638A6" w:rsidRDefault="00F638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F638A6" w:rsidRDefault="00CF517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5. </w:t>
      </w: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 xml:space="preserve">Проверка осуществления закупок у субъектов малого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и среднего </w:t>
      </w: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предпринимательства.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 соответствии с п. 7.36 Положения о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закупке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, Заказчиком, </w:t>
      </w:r>
      <w:r>
        <w:rPr>
          <w:rFonts w:ascii="Times New Roman" w:hAnsi="Times New Roman"/>
          <w:sz w:val="28"/>
          <w:szCs w:val="28"/>
          <w:highlight w:val="white"/>
        </w:rPr>
        <w:t xml:space="preserve">у субъектов малого и среднего предпринимательства осуществлены закупки  товаров, работ, услуг в объеме не менее чем </w:t>
      </w:r>
      <w:r>
        <w:rPr>
          <w:rFonts w:ascii="Times New Roman" w:hAnsi="Times New Roman"/>
          <w:sz w:val="28"/>
          <w:szCs w:val="28"/>
          <w:highlight w:val="white"/>
        </w:rPr>
        <w:t>25 % совокупного годового стоимостного объема договоров, заключенных по результатам закупок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(фактически </w:t>
      </w:r>
      <w:r>
        <w:rPr>
          <w:rFonts w:ascii="Times New Roman" w:hAnsi="Times New Roman"/>
          <w:sz w:val="28"/>
          <w:szCs w:val="28"/>
          <w:highlight w:val="white"/>
        </w:rPr>
        <w:t xml:space="preserve">56%), при этом совокупный годовой стоимостной объем договоров, заключенных с субъектами малого и среднего предпринимательства </w:t>
      </w:r>
      <w:r>
        <w:rPr>
          <w:rFonts w:ascii="Times New Roman" w:hAnsi="Times New Roman"/>
          <w:sz w:val="28"/>
          <w:szCs w:val="28"/>
          <w:highlight w:val="white"/>
        </w:rPr>
        <w:t xml:space="preserve">по результатам закупок, осуществленных в соответствии с пп. «б» пункта 7.2 Типового положения о закупке, составил не менее чем 20 % совокупного годового стоимостного объема договоров, заключенных заказчиками по результатам закупок.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(фактически </w:t>
      </w:r>
      <w:r>
        <w:rPr>
          <w:rFonts w:ascii="Times New Roman" w:hAnsi="Times New Roman"/>
          <w:sz w:val="28"/>
          <w:szCs w:val="28"/>
          <w:highlight w:val="white"/>
        </w:rPr>
        <w:t>60,7%).</w:t>
      </w:r>
    </w:p>
    <w:p w:rsidR="00F638A6" w:rsidRDefault="00F638A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sz w:val="28"/>
          <w:szCs w:val="28"/>
          <w:highlight w:val="white"/>
        </w:rPr>
      </w:pPr>
    </w:p>
    <w:p w:rsidR="00F638A6" w:rsidRDefault="00CF5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6. 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Проверка исполнения договоров.</w:t>
      </w:r>
    </w:p>
    <w:p w:rsidR="00F638A6" w:rsidRDefault="00CF517E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В нарушение приложения №4 «Определение в форме УПД показателей установленных законодательством в качестве обязательных» письма ФНС России от 21.10.2013 N ММВ-20-3/96@ «Об отсутствии налоговых рисков при применении налогоплате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льщиками первичного документа, составленного на основе формы счета-фактуры» отдельные универсальные передаточные акты (далее - УПД), составленные в ходе исполнения Учреждением договоров,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не содержат ответственного за правильное оформление сделки, операции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(факта хозяйственной жизни) со стороны покупателя (строка 18 УПД):</w:t>
      </w:r>
    </w:p>
    <w:p w:rsidR="00F638A6" w:rsidRDefault="00CF517E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- УПД со статусом 1 от 23.07.2024 № Н-7-23-00020 на сумму 93 495,00 руб.;</w:t>
      </w:r>
    </w:p>
    <w:p w:rsidR="00F638A6" w:rsidRDefault="00CF517E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- УПД со статусом 2 от 06.05.2024 № 336 на сумму 13 170,3 руб.;</w:t>
      </w:r>
    </w:p>
    <w:p w:rsidR="00F638A6" w:rsidRDefault="00CF517E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- УПД со статусом 2 от 06.11.2024  № 899 на сумму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1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4 965,00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руб.;</w:t>
      </w:r>
    </w:p>
    <w:p w:rsidR="00F638A6" w:rsidRDefault="00CF517E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-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УПД со статусом 1 от 24.07.2024 № УТ 9388 на сумму 112 528,67 руб.;</w:t>
      </w:r>
    </w:p>
    <w:p w:rsidR="00F638A6" w:rsidRDefault="00CF517E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- УПД со статусом 1 от 07.08.2024 № УТ-9974 на сумму 3 663,26 руб.</w:t>
      </w:r>
    </w:p>
    <w:p w:rsidR="00F638A6" w:rsidRDefault="00CF517E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В нарушение ч. 5.2, ст. 3 Закона № 223-ФЗ,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отдельные договоры о закупке,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не содержат информацию о стране происхождения товара:</w:t>
      </w:r>
    </w:p>
    <w:p w:rsidR="00F638A6" w:rsidRDefault="00CF51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-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договор от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01.08.2024 № ЭМ2443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поставку запасных частей и технических жидкостей к служебным автомобилям на сумму 12 005,00 руб., заключенный с ИП Ильиной Ю.С;</w:t>
      </w:r>
    </w:p>
    <w:p w:rsidR="00F638A6" w:rsidRDefault="00CF51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-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договор от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06.05.2024 № ЭМ 2412 на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поставку хозяйственных товаров  на сумму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13 170,30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 руб., заключенный с ИП Верозубовым Р.Г.;</w:t>
      </w:r>
    </w:p>
    <w:p w:rsidR="00F638A6" w:rsidRDefault="00CF51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-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договор от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06.11.2024 № ЭМ 2458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поставку хозяйственных товаров  на сумму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14 965,00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руб., заключенный с ИП Верозубовым Р.Г.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;</w:t>
      </w:r>
    </w:p>
    <w:p w:rsidR="00F638A6" w:rsidRDefault="00CF51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-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договор от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24.07.2024 № ЭМ 2442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поставку хозяйственных товаров  на сумму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24 126,96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 руб., заключенный с ИП Верозубовым Р.Г.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В нарушение п. 6.4.10. Положения закупке, в ГИСЗ НСО не размещен документ о приемке товара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по договору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от 16.04.2024 № 207 на поставку ООО «Омскреактив» химическ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их препаратов и реагентов для ветеринарной лаборатории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на сумму 171 881,90 руб. 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нарушение «Требований к разделам и содержанию договоров», являющихся </w:t>
      </w:r>
      <w:r>
        <w:rPr>
          <w:rFonts w:ascii="Times New Roman" w:hAnsi="Times New Roman"/>
          <w:sz w:val="28"/>
          <w:szCs w:val="28"/>
          <w:highlight w:val="white"/>
        </w:rPr>
        <w:t xml:space="preserve">Приложением №2 к Типовому положению о закупке товаров, работ,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услуг отдельными видами юридических лиц, </w:t>
      </w:r>
      <w:r>
        <w:rPr>
          <w:rFonts w:ascii="Times New Roman" w:hAnsi="Times New Roman"/>
          <w:sz w:val="28"/>
          <w:szCs w:val="28"/>
          <w:highlight w:val="white"/>
        </w:rPr>
        <w:t>в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договорах: от 01.07.2024 № ТМ24-11-2 на выполнение ООО «Тормед» работ по комплексному техническому обеспечению медицинской техники на сумму 112 320,00 руб., от 20.09.2024 № 3196 на выполнение ФБУ «Государственный региональный центр стандартизации метролог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ии и испытаний в Новосибирской области» работ по поверке средств измерений,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колировке средств измерений, аттестации испытательного оборудования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на сумму 196 604,64 руб., </w:t>
      </w:r>
      <w:r>
        <w:rPr>
          <w:rFonts w:ascii="Times New Roman" w:hAnsi="Times New Roman"/>
          <w:sz w:val="28"/>
          <w:szCs w:val="28"/>
          <w:highlight w:val="white"/>
        </w:rPr>
        <w:t>отсутствуют разделы:</w:t>
      </w:r>
    </w:p>
    <w:p w:rsidR="00F638A6" w:rsidRDefault="00CF51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 </w:t>
      </w:r>
      <w:r>
        <w:rPr>
          <w:rFonts w:ascii="Times New Roman" w:hAnsi="Times New Roman" w:cs="Times New Roman"/>
          <w:sz w:val="28"/>
          <w:szCs w:val="28"/>
          <w:highlight w:val="white"/>
        </w:rPr>
        <w:t>«Порядок поставки товаров, выполнения работ, оказания услуг»;</w:t>
      </w:r>
    </w:p>
    <w:p w:rsidR="00F638A6" w:rsidRDefault="00CF51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 «Гарантии».</w:t>
      </w:r>
    </w:p>
    <w:p w:rsidR="00F638A6" w:rsidRDefault="00F638A6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F638A6" w:rsidRDefault="00CF51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Выводы по итогам поверки</w:t>
      </w: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:</w:t>
      </w:r>
    </w:p>
    <w:p w:rsidR="00F638A6" w:rsidRDefault="00CF51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val="en-US"/>
        </w:rPr>
        <w:t>I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.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В ходе проверки установлены нарушения:</w:t>
      </w:r>
    </w:p>
    <w:p w:rsidR="00F638A6" w:rsidRDefault="00CF51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1. Федерального закона от 18.07.2011 № 223-ФЗ «О закупках товаров, работ, услуг отдельными видами юридических лиц»:</w:t>
      </w:r>
    </w:p>
    <w:p w:rsidR="00F638A6" w:rsidRDefault="00CF517E">
      <w:pPr>
        <w:pStyle w:val="a3"/>
        <w:tabs>
          <w:tab w:val="left" w:pos="993"/>
        </w:tabs>
        <w:spacing w:after="0" w:line="242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1)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ч. 2 ст. 4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:</w:t>
      </w:r>
    </w:p>
    <w:p w:rsidR="00F638A6" w:rsidRDefault="00CF517E">
      <w:pPr>
        <w:pStyle w:val="a3"/>
        <w:tabs>
          <w:tab w:val="left" w:pos="993"/>
        </w:tabs>
        <w:spacing w:after="0" w:line="242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а) план закупки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на 2024 год, в 2023 году в ЕИС не размещался (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размещение плана закупки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товаров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на 2024 год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в ЕИС осуществлено 16.01.2024);</w:t>
      </w:r>
    </w:p>
    <w:p w:rsidR="00F638A6" w:rsidRDefault="00CF517E">
      <w:pPr>
        <w:pStyle w:val="a3"/>
        <w:tabs>
          <w:tab w:val="left" w:pos="993"/>
        </w:tabs>
        <w:spacing w:after="0" w:line="242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б) размещение информации о внесении изменений в план закупки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на 2024 год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от 09.01.2024 в ЕИС осуществлено позднее 10 календарных дне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й с даты внесения в него изменений - 22.01.2024,</w:t>
      </w:r>
    </w:p>
    <w:p w:rsidR="00F638A6" w:rsidRDefault="00CF51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нарушения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указанные в пп. а., б.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п.1 раздела «</w:t>
      </w:r>
      <w:r>
        <w:rPr>
          <w:rFonts w:ascii="Times New Roman" w:eastAsia="Times New Roman" w:hAnsi="Times New Roman"/>
          <w:sz w:val="28"/>
          <w:szCs w:val="28"/>
          <w:highlight w:val="white"/>
          <w:lang w:val="en-US"/>
        </w:rPr>
        <w:t>I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.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 ходе проверки установлены нарушения»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настоящего акта проверки, так же является нарушениями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п. 14.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Положения от 10.09.2012 № 908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п. 3.6.1 Положения о закупке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;</w:t>
      </w:r>
    </w:p>
    <w:p w:rsidR="00F638A6" w:rsidRDefault="00CF517E">
      <w:pPr>
        <w:pStyle w:val="a3"/>
        <w:tabs>
          <w:tab w:val="left" w:pos="993"/>
        </w:tabs>
        <w:spacing w:after="0" w:line="242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2) ч. 2 ст. 4.1,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noBreakHyphen/>
        <w:t>  в отдельных случаях информация о договорах в течение 3 рабочих дней со дня их заключения, не внесена Заказчиком в реестр договоров, размещаемый в ЕИС, что так же является нарушением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8.4.17 Положения о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закупке;</w:t>
      </w:r>
    </w:p>
    <w:p w:rsidR="00F638A6" w:rsidRDefault="00CF517E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3) ч. 5.2, ст. 3, - отдельные договоры о закупке, не содержат информацию о стране происхождения товара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.</w:t>
      </w:r>
    </w:p>
    <w:p w:rsidR="00F638A6" w:rsidRDefault="00CF51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2. 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Положения о размещении в единой информационной системе, на официальном сайте такой системы в информационно-телекоммуникационной сети «Интерн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ет» положения о закупке, типового положения о закупке, информации о закупке, утвержденного Постановлением Правительства РФ от 10.09.2012 № 908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:</w:t>
      </w:r>
    </w:p>
    <w:p w:rsidR="00F638A6" w:rsidRDefault="00CF51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-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пп. а п. 10, п. 11 -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Положение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 закупке на 2024 год, принятое (утвержденное) до начала 2024 года,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неразмещенн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о в ЕИС в соответствии с требованиями законодательства Российской Федерации в сфере закупок товаров, работ, услуг отдельными видами юридических лиц (размещено ненадлежащим образом)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, а именно не размещено Положение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 закупке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в электронном виде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;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-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п. 12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, п.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13, - изменения, вносимые в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Положение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 закупке в 2024 году,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приказами Управления: </w:t>
      </w:r>
      <w:r>
        <w:rPr>
          <w:rFonts w:ascii="Times New Roman" w:hAnsi="Times New Roman"/>
          <w:sz w:val="28"/>
          <w:szCs w:val="28"/>
          <w:highlight w:val="white"/>
        </w:rPr>
        <w:t>от 07.03.2024 № 64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</w:rPr>
        <w:t>от 16.04.2024 № 103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</w:rPr>
        <w:t xml:space="preserve">от 12.11.2024 № 316,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не размещены в ЕИС в соответствии с требованиями законодательства Российской Федерации в сфере закупок товаров,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работ, услуг отдельными видами </w:t>
      </w:r>
      <w:r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>юридических лиц, то есть размещены ненадлежащим образом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, а именно в ЕИС не размещены в электронном виде измененные (актуализированные) Положения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о закупке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в редакции указанных приказов</w:t>
      </w:r>
      <w:r>
        <w:rPr>
          <w:rFonts w:ascii="Times New Roman" w:hAnsi="Times New Roman"/>
          <w:sz w:val="28"/>
          <w:szCs w:val="28"/>
          <w:highlight w:val="white"/>
        </w:rPr>
        <w:t>;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-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п. 14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, -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размещенный в ЕИС план закупки инновационной продукции, высокотехнологичной продукции, лекарственных средств на 2024 год, утвержденный 01.10.2024, не содержит информацию о закупках ветеринарных (лекарственных) препаратов по договору от 22.07.2024 № ЭМ 2441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на сумму 116 191,93 руб.,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что так же является нарушением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п. 2 Постановления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от 17.09.2012 № 932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; 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- п. 18, -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не размещен в ЕИС электронный вид документов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с перечнем изменений, внесенных в план закупки и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план закупки инновационной продукции, высокотехнолог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ичной продукции, лекарственных средств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.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3. Правил формирования плана закупки товаров работ, услуг, пп. 1 п. 1 требований к форме плана закупки товаров (работ, услуг), утвержденных Постановлением Правительства РФ от 17.09.2012 № 932 «Об утверждении Правил ф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ормирования плана закупки товаров (работ, услуг) и требований к форме такого плана», - планы закупки на 2024 год, размещенные в ЕИС не содержат телефон Заказчика.</w:t>
      </w:r>
    </w:p>
    <w:p w:rsidR="00F638A6" w:rsidRDefault="00CF51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4. 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Положения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о закупке товаров, работ, услуг государственного бюджетного учреждения Новосибир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ской области «Управление ветеринарии Доволенского района Новосибирской области»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:</w:t>
      </w:r>
    </w:p>
    <w:p w:rsidR="00F638A6" w:rsidRDefault="00CF51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-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пп. 4 п. 6.11.3, - Заказчиком, у единственного поставщика осуществлены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закупки на сумму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3 819 614,21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руб., то есть,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годовой объем закупок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у единственного поставщика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составил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77,57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%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F517E">
        <w:rPr>
          <w:rFonts w:ascii="Times New Roman" w:eastAsia="Times New Roman" w:hAnsi="Times New Roman"/>
          <w:color w:val="000000"/>
          <w:sz w:val="28"/>
          <w:szCs w:val="28"/>
          <w:highlight w:val="green"/>
        </w:rPr>
        <w:t>от СГОЗ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, вместо норматива 40%. Превышение норматива составило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37,57%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;</w:t>
      </w:r>
    </w:p>
    <w:p w:rsidR="00F638A6" w:rsidRDefault="00CF51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-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п. 6.4.10, - в ГИСЗ НСО не размещен документ о приемке товара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по договору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от 16.04.2024 № 207 на поставку ООО «Омскреактив» химических препаратов и реагентов для ветер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инарной лаборатории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на сумму 171 881,90 руб.;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-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приложения № 2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«Требования к разделам и содержанию договоров»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, -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в отдельных договорах на закупку отсутствуют разделы:</w:t>
      </w:r>
    </w:p>
    <w:p w:rsidR="00F638A6" w:rsidRDefault="00CF51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 </w:t>
      </w:r>
      <w:r>
        <w:rPr>
          <w:rFonts w:ascii="Times New Roman" w:hAnsi="Times New Roman" w:cs="Times New Roman"/>
          <w:sz w:val="28"/>
          <w:szCs w:val="28"/>
          <w:highlight w:val="white"/>
        </w:rPr>
        <w:t>«Порядок поставки товаров, выполнения работ, оказания услуг»;</w:t>
      </w:r>
    </w:p>
    <w:p w:rsidR="00F638A6" w:rsidRDefault="00CF51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 «Гарантии».</w:t>
      </w:r>
    </w:p>
    <w:p w:rsidR="00F638A6" w:rsidRDefault="00CF517E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5. 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исьма ФНС России от 21.10.2013 N ММВ-20-3/96@ «Об отсутствии налоговых рисков при применении налогоплательщиками первичного документа, составленного на основе формы счета-фактуры», приложения №4 «Определение в форме УПД показателей установленных законодате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льством в качестве обязательных», - отдельные универсальные передаточные акты, составленные в ходе исполнения Учреждением договоров,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не содержат ответственного за правильное оформление сделки, операции (факта хозяйственной жизни) со стороны покупателя (стр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ока 18 УПД)</w:t>
      </w:r>
      <w:r>
        <w:rPr>
          <w:highlight w:val="white"/>
        </w:rPr>
        <w:t>.</w:t>
      </w:r>
    </w:p>
    <w:p w:rsidR="00F638A6" w:rsidRDefault="00CF51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 соответствии с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п. 29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Порядка от 26.08.2019 № 354-п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настоящий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акт плановой камеральной (документарной) проверки соблюдения требований Федерального закона от 18.07.2011 № 223-ФЗ «О закупках товаров, работ, услуг отд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ельными видами юридических лиц» и иных принятых в соответствии с ним </w:t>
      </w:r>
      <w:r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>нормативных правовых актов Российской Федерации государственным бюджетным учреждением Новосибирской области «Управление ветеринарии Барабинского района Новосибирской области»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будет направ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лен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для рассмотрения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в орган, уполномоченный на осуществление контроля за соблюдением законодательства о закупках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F638A6" w:rsidRDefault="00F638A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F638A6" w:rsidRDefault="00F638A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F638A6" w:rsidRDefault="00F638A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F638A6" w:rsidRDefault="00CF517E">
      <w:pPr>
        <w:tabs>
          <w:tab w:val="left" w:pos="-900"/>
        </w:tabs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Консультант                                                                                               В.В. Петренко</w:t>
      </w:r>
    </w:p>
    <w:p w:rsidR="00F638A6" w:rsidRDefault="00F638A6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F638A6" w:rsidRDefault="00F638A6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F638A6" w:rsidRDefault="00F638A6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sectPr w:rsidR="00F638A6">
      <w:headerReference w:type="default" r:id="rId9"/>
      <w:headerReference w:type="first" r:id="rId10"/>
      <w:footerReference w:type="firs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17E" w:rsidRDefault="00CF517E">
      <w:pPr>
        <w:spacing w:after="0" w:line="240" w:lineRule="auto"/>
      </w:pPr>
      <w:r>
        <w:separator/>
      </w:r>
    </w:p>
  </w:endnote>
  <w:endnote w:type="continuationSeparator" w:id="0">
    <w:p w:rsidR="00CF517E" w:rsidRDefault="00CF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8A6" w:rsidRDefault="00F638A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17E" w:rsidRDefault="00CF517E">
      <w:pPr>
        <w:spacing w:after="0" w:line="240" w:lineRule="auto"/>
      </w:pPr>
      <w:r>
        <w:separator/>
      </w:r>
    </w:p>
  </w:footnote>
  <w:footnote w:type="continuationSeparator" w:id="0">
    <w:p w:rsidR="00CF517E" w:rsidRDefault="00CF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8A6" w:rsidRDefault="00CF517E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4873F0">
      <w:rPr>
        <w:noProof/>
      </w:rPr>
      <w:t>5</w:t>
    </w:r>
    <w:r>
      <w:fldChar w:fldCharType="end"/>
    </w:r>
  </w:p>
  <w:p w:rsidR="00F638A6" w:rsidRDefault="00F638A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8A6" w:rsidRDefault="00F638A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6A18"/>
    <w:multiLevelType w:val="hybridMultilevel"/>
    <w:tmpl w:val="D64262E0"/>
    <w:lvl w:ilvl="0" w:tplc="AFAE54D6">
      <w:start w:val="1"/>
      <w:numFmt w:val="decimal"/>
      <w:lvlText w:val="%1."/>
      <w:lvlJc w:val="left"/>
      <w:pPr>
        <w:ind w:left="720" w:hanging="360"/>
      </w:pPr>
    </w:lvl>
    <w:lvl w:ilvl="1" w:tplc="13D676D8">
      <w:start w:val="1"/>
      <w:numFmt w:val="lowerLetter"/>
      <w:lvlText w:val="%2."/>
      <w:lvlJc w:val="left"/>
      <w:pPr>
        <w:ind w:left="1440" w:hanging="360"/>
      </w:pPr>
    </w:lvl>
    <w:lvl w:ilvl="2" w:tplc="BB2AB02E">
      <w:start w:val="1"/>
      <w:numFmt w:val="lowerRoman"/>
      <w:lvlText w:val="%3."/>
      <w:lvlJc w:val="right"/>
      <w:pPr>
        <w:ind w:left="2160" w:hanging="180"/>
      </w:pPr>
    </w:lvl>
    <w:lvl w:ilvl="3" w:tplc="55E47344">
      <w:start w:val="1"/>
      <w:numFmt w:val="decimal"/>
      <w:lvlText w:val="%4."/>
      <w:lvlJc w:val="left"/>
      <w:pPr>
        <w:ind w:left="2880" w:hanging="360"/>
      </w:pPr>
    </w:lvl>
    <w:lvl w:ilvl="4" w:tplc="88F0E418">
      <w:start w:val="1"/>
      <w:numFmt w:val="lowerLetter"/>
      <w:lvlText w:val="%5."/>
      <w:lvlJc w:val="left"/>
      <w:pPr>
        <w:ind w:left="3600" w:hanging="360"/>
      </w:pPr>
    </w:lvl>
    <w:lvl w:ilvl="5" w:tplc="0ABEA08C">
      <w:start w:val="1"/>
      <w:numFmt w:val="lowerRoman"/>
      <w:lvlText w:val="%6."/>
      <w:lvlJc w:val="right"/>
      <w:pPr>
        <w:ind w:left="4320" w:hanging="180"/>
      </w:pPr>
    </w:lvl>
    <w:lvl w:ilvl="6" w:tplc="81D06882">
      <w:start w:val="1"/>
      <w:numFmt w:val="decimal"/>
      <w:lvlText w:val="%7."/>
      <w:lvlJc w:val="left"/>
      <w:pPr>
        <w:ind w:left="5040" w:hanging="360"/>
      </w:pPr>
    </w:lvl>
    <w:lvl w:ilvl="7" w:tplc="D160F54E">
      <w:start w:val="1"/>
      <w:numFmt w:val="lowerLetter"/>
      <w:lvlText w:val="%8."/>
      <w:lvlJc w:val="left"/>
      <w:pPr>
        <w:ind w:left="5760" w:hanging="360"/>
      </w:pPr>
    </w:lvl>
    <w:lvl w:ilvl="8" w:tplc="3566E0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2605A"/>
    <w:multiLevelType w:val="hybridMultilevel"/>
    <w:tmpl w:val="2CCE6770"/>
    <w:lvl w:ilvl="0" w:tplc="B130F0E0">
      <w:start w:val="1"/>
      <w:numFmt w:val="decimal"/>
      <w:lvlText w:val="%1."/>
      <w:lvlJc w:val="left"/>
      <w:pPr>
        <w:ind w:left="720" w:hanging="360"/>
      </w:pPr>
    </w:lvl>
    <w:lvl w:ilvl="1" w:tplc="44E8E89E">
      <w:start w:val="1"/>
      <w:numFmt w:val="lowerLetter"/>
      <w:lvlText w:val="%2."/>
      <w:lvlJc w:val="left"/>
      <w:pPr>
        <w:ind w:left="1440" w:hanging="360"/>
      </w:pPr>
    </w:lvl>
    <w:lvl w:ilvl="2" w:tplc="92289D54">
      <w:start w:val="1"/>
      <w:numFmt w:val="lowerRoman"/>
      <w:lvlText w:val="%3."/>
      <w:lvlJc w:val="right"/>
      <w:pPr>
        <w:ind w:left="2160" w:hanging="180"/>
      </w:pPr>
    </w:lvl>
    <w:lvl w:ilvl="3" w:tplc="249CFB0E">
      <w:start w:val="1"/>
      <w:numFmt w:val="decimal"/>
      <w:lvlText w:val="%4."/>
      <w:lvlJc w:val="left"/>
      <w:pPr>
        <w:ind w:left="2880" w:hanging="360"/>
      </w:pPr>
    </w:lvl>
    <w:lvl w:ilvl="4" w:tplc="0F6C133E">
      <w:start w:val="1"/>
      <w:numFmt w:val="lowerLetter"/>
      <w:lvlText w:val="%5."/>
      <w:lvlJc w:val="left"/>
      <w:pPr>
        <w:ind w:left="3600" w:hanging="360"/>
      </w:pPr>
    </w:lvl>
    <w:lvl w:ilvl="5" w:tplc="870EC5AA">
      <w:start w:val="1"/>
      <w:numFmt w:val="lowerRoman"/>
      <w:lvlText w:val="%6."/>
      <w:lvlJc w:val="right"/>
      <w:pPr>
        <w:ind w:left="4320" w:hanging="180"/>
      </w:pPr>
    </w:lvl>
    <w:lvl w:ilvl="6" w:tplc="BEBCDC82">
      <w:start w:val="1"/>
      <w:numFmt w:val="decimal"/>
      <w:lvlText w:val="%7."/>
      <w:lvlJc w:val="left"/>
      <w:pPr>
        <w:ind w:left="5040" w:hanging="360"/>
      </w:pPr>
    </w:lvl>
    <w:lvl w:ilvl="7" w:tplc="1B16A0FC">
      <w:start w:val="1"/>
      <w:numFmt w:val="lowerLetter"/>
      <w:lvlText w:val="%8."/>
      <w:lvlJc w:val="left"/>
      <w:pPr>
        <w:ind w:left="5760" w:hanging="360"/>
      </w:pPr>
    </w:lvl>
    <w:lvl w:ilvl="8" w:tplc="6D9ED8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E1294"/>
    <w:multiLevelType w:val="hybridMultilevel"/>
    <w:tmpl w:val="E6A4C1E6"/>
    <w:lvl w:ilvl="0" w:tplc="0B341562">
      <w:start w:val="1"/>
      <w:numFmt w:val="decimal"/>
      <w:lvlText w:val="1.%1"/>
      <w:lvlJc w:val="left"/>
      <w:pPr>
        <w:ind w:left="1779" w:hanging="360"/>
      </w:pPr>
      <w:rPr>
        <w:color w:val="000000"/>
      </w:rPr>
    </w:lvl>
    <w:lvl w:ilvl="1" w:tplc="96AE2F20">
      <w:start w:val="1"/>
      <w:numFmt w:val="lowerLetter"/>
      <w:lvlText w:val="%2."/>
      <w:lvlJc w:val="left"/>
      <w:pPr>
        <w:ind w:left="2499" w:hanging="360"/>
      </w:pPr>
    </w:lvl>
    <w:lvl w:ilvl="2" w:tplc="4410A7EA">
      <w:start w:val="1"/>
      <w:numFmt w:val="lowerRoman"/>
      <w:lvlText w:val="%3."/>
      <w:lvlJc w:val="right"/>
      <w:pPr>
        <w:ind w:left="3219" w:hanging="180"/>
      </w:pPr>
    </w:lvl>
    <w:lvl w:ilvl="3" w:tplc="6B225FA2">
      <w:start w:val="1"/>
      <w:numFmt w:val="decimal"/>
      <w:lvlText w:val="%4."/>
      <w:lvlJc w:val="left"/>
      <w:pPr>
        <w:ind w:left="3939" w:hanging="360"/>
      </w:pPr>
    </w:lvl>
    <w:lvl w:ilvl="4" w:tplc="2D42A500">
      <w:start w:val="1"/>
      <w:numFmt w:val="lowerLetter"/>
      <w:lvlText w:val="%5."/>
      <w:lvlJc w:val="left"/>
      <w:pPr>
        <w:ind w:left="4659" w:hanging="360"/>
      </w:pPr>
    </w:lvl>
    <w:lvl w:ilvl="5" w:tplc="5C42E0C0">
      <w:start w:val="1"/>
      <w:numFmt w:val="lowerRoman"/>
      <w:lvlText w:val="%6."/>
      <w:lvlJc w:val="right"/>
      <w:pPr>
        <w:ind w:left="5379" w:hanging="180"/>
      </w:pPr>
    </w:lvl>
    <w:lvl w:ilvl="6" w:tplc="A0F8BC22">
      <w:start w:val="1"/>
      <w:numFmt w:val="decimal"/>
      <w:lvlText w:val="%7."/>
      <w:lvlJc w:val="left"/>
      <w:pPr>
        <w:ind w:left="6099" w:hanging="360"/>
      </w:pPr>
    </w:lvl>
    <w:lvl w:ilvl="7" w:tplc="F176C402">
      <w:start w:val="1"/>
      <w:numFmt w:val="lowerLetter"/>
      <w:lvlText w:val="%8."/>
      <w:lvlJc w:val="left"/>
      <w:pPr>
        <w:ind w:left="6819" w:hanging="360"/>
      </w:pPr>
    </w:lvl>
    <w:lvl w:ilvl="8" w:tplc="15607812">
      <w:start w:val="1"/>
      <w:numFmt w:val="lowerRoman"/>
      <w:lvlText w:val="%9."/>
      <w:lvlJc w:val="right"/>
      <w:pPr>
        <w:ind w:left="7539" w:hanging="180"/>
      </w:pPr>
    </w:lvl>
  </w:abstractNum>
  <w:abstractNum w:abstractNumId="3" w15:restartNumberingAfterBreak="0">
    <w:nsid w:val="6FE60E33"/>
    <w:multiLevelType w:val="hybridMultilevel"/>
    <w:tmpl w:val="EE3E6E58"/>
    <w:lvl w:ilvl="0" w:tplc="BFA2473E">
      <w:start w:val="1"/>
      <w:numFmt w:val="decimal"/>
      <w:lvlText w:val="%1."/>
      <w:lvlJc w:val="left"/>
      <w:pPr>
        <w:ind w:left="720" w:hanging="360"/>
      </w:pPr>
    </w:lvl>
    <w:lvl w:ilvl="1" w:tplc="A810DF50">
      <w:start w:val="1"/>
      <w:numFmt w:val="lowerLetter"/>
      <w:lvlText w:val="%2."/>
      <w:lvlJc w:val="left"/>
      <w:pPr>
        <w:ind w:left="1440" w:hanging="360"/>
      </w:pPr>
    </w:lvl>
    <w:lvl w:ilvl="2" w:tplc="86B69830">
      <w:start w:val="1"/>
      <w:numFmt w:val="lowerRoman"/>
      <w:lvlText w:val="%3."/>
      <w:lvlJc w:val="right"/>
      <w:pPr>
        <w:ind w:left="2160" w:hanging="180"/>
      </w:pPr>
    </w:lvl>
    <w:lvl w:ilvl="3" w:tplc="CFAEE93A">
      <w:start w:val="1"/>
      <w:numFmt w:val="decimal"/>
      <w:lvlText w:val="%4."/>
      <w:lvlJc w:val="left"/>
      <w:pPr>
        <w:ind w:left="2880" w:hanging="360"/>
      </w:pPr>
    </w:lvl>
    <w:lvl w:ilvl="4" w:tplc="E89406A6">
      <w:start w:val="1"/>
      <w:numFmt w:val="lowerLetter"/>
      <w:lvlText w:val="%5."/>
      <w:lvlJc w:val="left"/>
      <w:pPr>
        <w:ind w:left="3600" w:hanging="360"/>
      </w:pPr>
    </w:lvl>
    <w:lvl w:ilvl="5" w:tplc="87621A32">
      <w:start w:val="1"/>
      <w:numFmt w:val="lowerRoman"/>
      <w:lvlText w:val="%6."/>
      <w:lvlJc w:val="right"/>
      <w:pPr>
        <w:ind w:left="4320" w:hanging="180"/>
      </w:pPr>
    </w:lvl>
    <w:lvl w:ilvl="6" w:tplc="5D9E11DE">
      <w:start w:val="1"/>
      <w:numFmt w:val="decimal"/>
      <w:lvlText w:val="%7."/>
      <w:lvlJc w:val="left"/>
      <w:pPr>
        <w:ind w:left="5040" w:hanging="360"/>
      </w:pPr>
    </w:lvl>
    <w:lvl w:ilvl="7" w:tplc="F6D03630">
      <w:start w:val="1"/>
      <w:numFmt w:val="lowerLetter"/>
      <w:lvlText w:val="%8."/>
      <w:lvlJc w:val="left"/>
      <w:pPr>
        <w:ind w:left="5760" w:hanging="360"/>
      </w:pPr>
    </w:lvl>
    <w:lvl w:ilvl="8" w:tplc="522CE9B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38A6"/>
    <w:rsid w:val="004873F0"/>
    <w:rsid w:val="00CF517E"/>
    <w:rsid w:val="00F6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F230"/>
  <w15:docId w15:val="{6F383EE4-1CB2-4818-A82F-57EEE4D4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table" w:styleId="af0">
    <w:name w:val="Table Grid"/>
    <w:basedOn w:val="a1"/>
    <w:uiPriority w:val="59"/>
    <w:tblPr/>
  </w:style>
  <w:style w:type="table" w:styleId="11">
    <w:name w:val="Plain Table 1"/>
    <w:basedOn w:val="a1"/>
    <w:uiPriority w:val="59"/>
    <w:tblPr/>
  </w:style>
  <w:style w:type="table" w:styleId="23">
    <w:name w:val="Plain Table 2"/>
    <w:basedOn w:val="a1"/>
    <w:uiPriority w:val="59"/>
    <w:tblPr/>
  </w:style>
  <w:style w:type="table" w:styleId="31">
    <w:name w:val="Plain Table 3"/>
    <w:basedOn w:val="a1"/>
    <w:uiPriority w:val="99"/>
    <w:tblPr/>
  </w:style>
  <w:style w:type="table" w:styleId="41">
    <w:name w:val="Plain Table 4"/>
    <w:basedOn w:val="a1"/>
    <w:uiPriority w:val="99"/>
    <w:tblPr/>
  </w:style>
  <w:style w:type="table" w:styleId="51">
    <w:name w:val="Plain Table 5"/>
    <w:basedOn w:val="a1"/>
    <w:uiPriority w:val="99"/>
    <w:tblPr/>
  </w:style>
  <w:style w:type="table" w:styleId="-1">
    <w:name w:val="Grid Table 1 Light"/>
    <w:basedOn w:val="a1"/>
    <w:uiPriority w:val="99"/>
    <w:tblPr/>
  </w:style>
  <w:style w:type="table" w:styleId="-2">
    <w:name w:val="Grid Table 2"/>
    <w:basedOn w:val="a1"/>
    <w:uiPriority w:val="99"/>
    <w:tblPr/>
  </w:style>
  <w:style w:type="table" w:styleId="-3">
    <w:name w:val="Grid Table 3"/>
    <w:basedOn w:val="a1"/>
    <w:uiPriority w:val="99"/>
    <w:tblPr/>
  </w:style>
  <w:style w:type="table" w:styleId="-4">
    <w:name w:val="Grid Table 4"/>
    <w:basedOn w:val="a1"/>
    <w:uiPriority w:val="59"/>
    <w:tblPr/>
  </w:style>
  <w:style w:type="table" w:styleId="-5">
    <w:name w:val="Grid Table 5 Dark"/>
    <w:basedOn w:val="a1"/>
    <w:uiPriority w:val="99"/>
    <w:tblPr/>
  </w:style>
  <w:style w:type="table" w:styleId="-6">
    <w:name w:val="Grid Table 6 Colorful"/>
    <w:basedOn w:val="a1"/>
    <w:uiPriority w:val="99"/>
    <w:tblPr/>
  </w:style>
  <w:style w:type="table" w:styleId="-7">
    <w:name w:val="Grid Table 7 Colorful"/>
    <w:basedOn w:val="a1"/>
    <w:uiPriority w:val="99"/>
    <w:tblPr/>
  </w:style>
  <w:style w:type="table" w:styleId="-10">
    <w:name w:val="List Table 1 Light"/>
    <w:basedOn w:val="a1"/>
    <w:uiPriority w:val="99"/>
    <w:tblPr/>
  </w:style>
  <w:style w:type="table" w:styleId="-20">
    <w:name w:val="List Table 2"/>
    <w:basedOn w:val="a1"/>
    <w:uiPriority w:val="99"/>
    <w:tblPr/>
  </w:style>
  <w:style w:type="table" w:styleId="-30">
    <w:name w:val="List Table 3"/>
    <w:basedOn w:val="a1"/>
    <w:uiPriority w:val="99"/>
    <w:tblPr/>
  </w:style>
  <w:style w:type="table" w:styleId="-40">
    <w:name w:val="List Table 4"/>
    <w:basedOn w:val="a1"/>
    <w:uiPriority w:val="99"/>
    <w:tblPr/>
  </w:style>
  <w:style w:type="table" w:styleId="-50">
    <w:name w:val="List Table 5 Dark"/>
    <w:basedOn w:val="a1"/>
    <w:uiPriority w:val="99"/>
    <w:tblPr/>
  </w:style>
  <w:style w:type="table" w:styleId="-60">
    <w:name w:val="List Table 6 Colorful"/>
    <w:basedOn w:val="a1"/>
    <w:uiPriority w:val="99"/>
    <w:tblPr/>
  </w:style>
  <w:style w:type="table" w:styleId="-70">
    <w:name w:val="List Table 7 Colorful"/>
    <w:basedOn w:val="a1"/>
    <w:uiPriority w:val="99"/>
    <w:tblPr/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pPr>
      <w:spacing w:after="200" w:line="276" w:lineRule="auto"/>
    </w:pPr>
    <w:rPr>
      <w:sz w:val="22"/>
      <w:szCs w:val="22"/>
      <w:lang w:eastAsia="en-US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customStyle="1" w:styleId="GridTable4-Accent1">
    <w:name w:val="Grid Table 4 - Accent 1"/>
    <w:basedOn w:val="a1"/>
    <w:uiPriority w:val="59"/>
    <w:tblPr/>
  </w:style>
  <w:style w:type="table" w:customStyle="1" w:styleId="GridTable4-Accent2">
    <w:name w:val="Grid Table 4 - Accent 2"/>
    <w:basedOn w:val="a1"/>
    <w:uiPriority w:val="59"/>
    <w:tblPr/>
  </w:style>
  <w:style w:type="table" w:customStyle="1" w:styleId="GridTable4-Accent3">
    <w:name w:val="Grid Table 4 - Accent 3"/>
    <w:basedOn w:val="a1"/>
    <w:uiPriority w:val="59"/>
    <w:tblPr/>
  </w:style>
  <w:style w:type="table" w:customStyle="1" w:styleId="GridTable4-Accent4">
    <w:name w:val="Grid Table 4 - Accent 4"/>
    <w:basedOn w:val="a1"/>
    <w:uiPriority w:val="59"/>
    <w:tblPr/>
  </w:style>
  <w:style w:type="table" w:customStyle="1" w:styleId="GridTable4-Accent5">
    <w:name w:val="Grid Table 4 - Accent 5"/>
    <w:basedOn w:val="a1"/>
    <w:uiPriority w:val="59"/>
    <w:tblPr/>
  </w:style>
  <w:style w:type="table" w:customStyle="1" w:styleId="GridTable4-Accent6">
    <w:name w:val="Grid Table 4 - Accent 6"/>
    <w:basedOn w:val="a1"/>
    <w:uiPriority w:val="5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rPr>
      <w:color w:val="404040"/>
    </w:rPr>
    <w:tblPr/>
  </w:style>
  <w:style w:type="table" w:customStyle="1" w:styleId="Lined-Accent1">
    <w:name w:val="Lined - Accent 1"/>
    <w:basedOn w:val="a1"/>
    <w:uiPriority w:val="99"/>
    <w:rPr>
      <w:color w:val="404040"/>
    </w:rPr>
    <w:tblPr/>
  </w:style>
  <w:style w:type="table" w:customStyle="1" w:styleId="Lined-Accent2">
    <w:name w:val="Lined - Accent 2"/>
    <w:basedOn w:val="a1"/>
    <w:uiPriority w:val="99"/>
    <w:rPr>
      <w:color w:val="404040"/>
    </w:rPr>
    <w:tblPr/>
  </w:style>
  <w:style w:type="table" w:customStyle="1" w:styleId="Lined-Accent3">
    <w:name w:val="Lined - Accent 3"/>
    <w:basedOn w:val="a1"/>
    <w:uiPriority w:val="99"/>
    <w:rPr>
      <w:color w:val="404040"/>
    </w:rPr>
    <w:tblPr/>
  </w:style>
  <w:style w:type="table" w:customStyle="1" w:styleId="Lined-Accent4">
    <w:name w:val="Lined - Accent 4"/>
    <w:basedOn w:val="a1"/>
    <w:uiPriority w:val="99"/>
    <w:rPr>
      <w:color w:val="404040"/>
    </w:rPr>
    <w:tblPr/>
  </w:style>
  <w:style w:type="table" w:customStyle="1" w:styleId="Lined-Accent5">
    <w:name w:val="Lined - Accent 5"/>
    <w:basedOn w:val="a1"/>
    <w:uiPriority w:val="99"/>
    <w:rPr>
      <w:color w:val="404040"/>
    </w:rPr>
    <w:tblPr/>
  </w:style>
  <w:style w:type="table" w:customStyle="1" w:styleId="Lined-Accent6">
    <w:name w:val="Lined - Accent 6"/>
    <w:basedOn w:val="a1"/>
    <w:uiPriority w:val="99"/>
    <w:rPr>
      <w:color w:val="404040"/>
    </w:rPr>
    <w:tblPr/>
  </w:style>
  <w:style w:type="table" w:customStyle="1" w:styleId="BorderedLined-Accent">
    <w:name w:val="Bordered &amp; Lined - Accent"/>
    <w:basedOn w:val="a1"/>
    <w:uiPriority w:val="99"/>
    <w:rPr>
      <w:color w:val="404040"/>
    </w:rPr>
    <w:tblPr/>
  </w:style>
  <w:style w:type="table" w:customStyle="1" w:styleId="BorderedLined-Accent1">
    <w:name w:val="Bordered &amp; Lined - Accent 1"/>
    <w:basedOn w:val="a1"/>
    <w:uiPriority w:val="99"/>
    <w:rPr>
      <w:color w:val="404040"/>
    </w:rPr>
    <w:tblPr/>
  </w:style>
  <w:style w:type="table" w:customStyle="1" w:styleId="BorderedLined-Accent2">
    <w:name w:val="Bordered &amp; Lined - Accent 2"/>
    <w:basedOn w:val="a1"/>
    <w:uiPriority w:val="99"/>
    <w:rPr>
      <w:color w:val="404040"/>
    </w:rPr>
    <w:tblPr/>
  </w:style>
  <w:style w:type="table" w:customStyle="1" w:styleId="BorderedLined-Accent3">
    <w:name w:val="Bordered &amp; Lined - Accent 3"/>
    <w:basedOn w:val="a1"/>
    <w:uiPriority w:val="99"/>
    <w:rPr>
      <w:color w:val="404040"/>
    </w:rPr>
    <w:tblPr/>
  </w:style>
  <w:style w:type="table" w:customStyle="1" w:styleId="BorderedLined-Accent4">
    <w:name w:val="Bordered &amp; Lined - Accent 4"/>
    <w:basedOn w:val="a1"/>
    <w:uiPriority w:val="99"/>
    <w:rPr>
      <w:color w:val="404040"/>
    </w:rPr>
    <w:tblPr/>
  </w:style>
  <w:style w:type="table" w:customStyle="1" w:styleId="BorderedLined-Accent5">
    <w:name w:val="Bordered &amp; Lined - Accent 5"/>
    <w:basedOn w:val="a1"/>
    <w:uiPriority w:val="99"/>
    <w:rPr>
      <w:color w:val="404040"/>
    </w:rPr>
    <w:tblPr/>
  </w:style>
  <w:style w:type="table" w:customStyle="1" w:styleId="BorderedLined-Accent6">
    <w:name w:val="Bordered &amp; Lined - Accent 6"/>
    <w:basedOn w:val="a1"/>
    <w:uiPriority w:val="99"/>
    <w:rPr>
      <w:color w:val="404040"/>
    </w:rPr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semiHidden/>
  </w:style>
  <w:style w:type="character" w:customStyle="1" w:styleId="ae">
    <w:name w:val="Нижний колонтитул Знак"/>
    <w:basedOn w:val="a0"/>
    <w:link w:val="ad"/>
    <w:uiPriority w:val="99"/>
    <w:semiHidden/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paragraph" w:customStyle="1" w:styleId="Style3">
    <w:name w:val="Style3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exact"/>
      <w:jc w:val="center"/>
    </w:pPr>
    <w:rPr>
      <w:rFonts w:ascii="Times New Roman" w:eastAsia="Arial" w:hAnsi="Times New Roman"/>
      <w:sz w:val="24"/>
      <w:szCs w:val="24"/>
    </w:rPr>
  </w:style>
  <w:style w:type="character" w:customStyle="1" w:styleId="FontStyle20">
    <w:name w:val="Font Style20"/>
    <w:uiPriority w:val="99"/>
    <w:rPr>
      <w:rFonts w:ascii="Palatino Linotype" w:hAnsi="Palatino Linotype" w:cs="Palatino Linotype"/>
      <w:sz w:val="18"/>
      <w:szCs w:val="18"/>
    </w:rPr>
  </w:style>
  <w:style w:type="paragraph" w:customStyle="1" w:styleId="Style6">
    <w:name w:val="Style6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" w:hAnsi="Times New Roman"/>
      <w:sz w:val="24"/>
      <w:szCs w:val="24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 w:cs="Arial"/>
      <w:lang w:eastAsia="ar-SA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1DC80C9163EC6D5F01BC8C85036C6024BD80A35FC54B55948E30B33428829AAAA7ED0A34ACF6FFDED8ADC08Di8FC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3185</Words>
  <Characters>18160</Characters>
  <Application>Microsoft Office Word</Application>
  <DocSecurity>0</DocSecurity>
  <Lines>151</Lines>
  <Paragraphs>42</Paragraphs>
  <ScaleCrop>false</ScaleCrop>
  <Company>PNO</Company>
  <LinksUpToDate>false</LinksUpToDate>
  <CharactersWithSpaces>21303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Себелев Валерий Валерьевич</cp:lastModifiedBy>
  <cp:revision>40</cp:revision>
  <dcterms:created xsi:type="dcterms:W3CDTF">2024-05-30T08:37:00Z</dcterms:created>
  <dcterms:modified xsi:type="dcterms:W3CDTF">2025-11-19T03:39:00Z</dcterms:modified>
  <cp:version>1048576</cp:version>
</cp:coreProperties>
</file>