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с 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4.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3.202</w:t>
      </w:r>
      <w:r>
        <w:rPr>
          <w:rFonts w:ascii="Times New Roman" w:hAnsi="Times New Roman" w:cs="Times New Roman"/>
          <w:sz w:val="28"/>
          <w:szCs w:val="28"/>
        </w:rPr>
        <w:t xml:space="preserve">4 по 2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  <w:t xml:space="preserve">0</w:t>
      </w:r>
      <w:r>
        <w:rPr>
          <w:rFonts w:ascii="Times New Roman" w:hAnsi="Times New Roman" w:cs="Times New Roman"/>
          <w:sz w:val="28"/>
          <w:szCs w:val="28"/>
        </w:rPr>
        <w:t xml:space="preserve">3.202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специалистами у</w:t>
      </w:r>
      <w:r>
        <w:rPr>
          <w:rFonts w:ascii="Times New Roman" w:hAnsi="Times New Roman" w:cs="Times New Roman"/>
          <w:sz w:val="28"/>
          <w:szCs w:val="28"/>
        </w:rPr>
        <w:t xml:space="preserve">правления ветеринарии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проведена плановая проверка</w:t>
      </w:r>
      <w:r>
        <w:rPr>
          <w:rFonts w:ascii="Times New Roman" w:hAnsi="Times New Roman" w:cs="Times New Roman"/>
          <w:sz w:val="28"/>
          <w:szCs w:val="28"/>
        </w:rPr>
        <w:t xml:space="preserve"> 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бюджетно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 «Управление ветеринарии Карасукского </w:t>
      </w:r>
      <w:r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вопросу </w:t>
      </w:r>
      <w:r>
        <w:rPr>
          <w:rFonts w:ascii="Times New Roman" w:hAnsi="Times New Roman" w:cs="Times New Roman"/>
          <w:sz w:val="28"/>
          <w:szCs w:val="28"/>
        </w:rPr>
        <w:t xml:space="preserve">соб</w:t>
      </w:r>
      <w:r>
        <w:rPr>
          <w:rFonts w:ascii="Times New Roman" w:hAnsi="Times New Roman" w:cs="Times New Roman"/>
          <w:sz w:val="28"/>
          <w:szCs w:val="28"/>
        </w:rPr>
        <w:t xml:space="preserve">людения государственными бюджетными учреждениями Новосибирской области, подведомственными управлению ветеринарии Новосибирской области, требований законодательства Российской Федерации и иных нормативных правовых актов о контрактной системе в сфере закупок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указанной проверки существенных нарушений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 xml:space="preserve">установлено.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3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3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3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3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3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3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3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3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3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3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3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3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3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NSO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Черданцев Артур Валерьевич</dc:creator>
  <cp:revision>6</cp:revision>
  <dcterms:created xsi:type="dcterms:W3CDTF">2023-05-17T03:15:00Z</dcterms:created>
  <dcterms:modified xsi:type="dcterms:W3CDTF">2024-03-28T08:06:28Z</dcterms:modified>
</cp:coreProperties>
</file>