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32326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323265" w:rsidRPr="003232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3265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7659" w:rsidRDefault="00127659" w:rsidP="001276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в соответствии с должностным регламентом гражданского служащего.</w:t>
      </w:r>
    </w:p>
    <w:p w:rsidR="00127659" w:rsidRDefault="00127659" w:rsidP="0012765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31.05.2021 № 113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23265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2326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127659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12765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6FD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77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659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12765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12765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16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16FD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416FDD">
        <w:rPr>
          <w:rFonts w:ascii="Times New Roman" w:eastAsia="Times New Roman" w:hAnsi="Times New Roman"/>
          <w:i/>
          <w:sz w:val="28"/>
          <w:szCs w:val="28"/>
          <w:lang w:eastAsia="ru-RU"/>
        </w:rPr>
        <w:t>32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76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659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A67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19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A69C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6</w:t>
      </w:r>
      <w:r w:rsidR="006A67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5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A677C">
        <w:rPr>
          <w:rFonts w:ascii="Times New Roman" w:eastAsia="Times New Roman" w:hAnsi="Times New Roman"/>
          <w:sz w:val="28"/>
          <w:szCs w:val="28"/>
          <w:lang w:eastAsia="ru-RU"/>
        </w:rPr>
        <w:t>посетител</w:t>
      </w:r>
      <w:r w:rsidR="006A677C">
        <w:rPr>
          <w:rFonts w:ascii="Times New Roman" w:eastAsia="Times New Roman" w:hAnsi="Times New Roman"/>
          <w:sz w:val="28"/>
          <w:szCs w:val="28"/>
          <w:lang w:eastAsia="ru-RU"/>
        </w:rPr>
        <w:t>ей не</w:t>
      </w:r>
      <w:r w:rsidR="006A677C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6A67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643E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21643E">
        <w:rPr>
          <w:rFonts w:ascii="Times New Roman" w:eastAsia="Times New Roman" w:hAnsi="Times New Roman"/>
          <w:bCs/>
          <w:sz w:val="28"/>
          <w:szCs w:val="28"/>
          <w:lang w:eastAsia="ru-RU"/>
        </w:rPr>
        <w:t>47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2164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146,9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706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3 (</w:t>
      </w:r>
      <w:r w:rsidR="0021643E"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16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2CA6" w:rsidRDefault="00392CA6" w:rsidP="00392C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отловом животных 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угрозой жителям населенных пунктов со стороны животных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ненадлежащим содержанием домашних животных (10), работой ветеринарной службы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фермерскими хозяйствами (1), причинением вреда здоровью вследствие нападения животных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пищевой и перерабатывающей промышленностью, сельскохозяйственными </w:t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кооперативами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сельскохозяйственной продукцией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нарушениями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области ветеринарии (4), содержанием домашних животных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регулированием численности животных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личными подсобными хозяйствами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 (3).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427FD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A0B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27FD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659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1643E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3265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2CA6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6FDD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27FD0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060D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77C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992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69C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A663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77A26-D06D-40E8-A7BC-B5762233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2022-05-05T03:36:00Z</dcterms:created>
  <dcterms:modified xsi:type="dcterms:W3CDTF">2022-05-05T03:36:00Z</dcterms:modified>
</cp:coreProperties>
</file>