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8F" w:rsidRDefault="00362D8F">
      <w:pPr>
        <w:pStyle w:val="ConsPlusNormal"/>
        <w:jc w:val="both"/>
      </w:pPr>
      <w:bookmarkStart w:id="0" w:name="_GoBack"/>
      <w:bookmarkEnd w:id="0"/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jc w:val="right"/>
        <w:outlineLvl w:val="1"/>
      </w:pPr>
      <w:r>
        <w:t>Приложение</w:t>
      </w:r>
    </w:p>
    <w:p w:rsidR="00362D8F" w:rsidRDefault="00362D8F">
      <w:pPr>
        <w:pStyle w:val="ConsPlusNormal"/>
        <w:jc w:val="right"/>
      </w:pPr>
      <w:r>
        <w:t>к Положению о федеральном</w:t>
      </w:r>
    </w:p>
    <w:p w:rsidR="00362D8F" w:rsidRDefault="00362D8F">
      <w:pPr>
        <w:pStyle w:val="ConsPlusNormal"/>
        <w:jc w:val="right"/>
      </w:pPr>
      <w:r>
        <w:t>государственном ветеринарном</w:t>
      </w:r>
    </w:p>
    <w:p w:rsidR="00362D8F" w:rsidRDefault="00362D8F">
      <w:pPr>
        <w:pStyle w:val="ConsPlusNormal"/>
        <w:jc w:val="right"/>
      </w:pPr>
      <w:r>
        <w:t>контроле (надзоре)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Title"/>
        <w:jc w:val="center"/>
      </w:pPr>
      <w:bookmarkStart w:id="1" w:name="P406"/>
      <w:bookmarkEnd w:id="1"/>
      <w:r>
        <w:t>КРИТЕРИИ</w:t>
      </w:r>
    </w:p>
    <w:p w:rsidR="00362D8F" w:rsidRDefault="00362D8F">
      <w:pPr>
        <w:pStyle w:val="ConsPlusTitle"/>
        <w:jc w:val="center"/>
      </w:pPr>
      <w:r>
        <w:t>ОТНЕСЕНИЯ ОБЪЕКТОВ ФЕДЕРАЛЬНОГО ГОСУДАРСТВЕННОГО</w:t>
      </w:r>
    </w:p>
    <w:p w:rsidR="00362D8F" w:rsidRDefault="00362D8F">
      <w:pPr>
        <w:pStyle w:val="ConsPlusTitle"/>
        <w:jc w:val="center"/>
      </w:pPr>
      <w:r>
        <w:t>ВЕТЕРИНАРНОГО КОНТРОЛЯ (НАДЗОРА) К КАТЕГОРИЯМ РИСКА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Title"/>
        <w:jc w:val="center"/>
        <w:outlineLvl w:val="2"/>
      </w:pPr>
      <w:r>
        <w:t>I. Общие положения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ind w:firstLine="540"/>
        <w:jc w:val="both"/>
      </w:pPr>
      <w:r>
        <w:t>1. При осуществлении федерального государственного ветеринарного контроля (надзора) (далее - государственный надзор) отнесение объектов государственного надзора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(</w:t>
      </w:r>
      <w:hyperlink w:anchor="P414" w:history="1">
        <w:r>
          <w:rPr>
            <w:color w:val="0000FF"/>
          </w:rPr>
          <w:t>раздел II</w:t>
        </w:r>
      </w:hyperlink>
      <w:r>
        <w:t xml:space="preserve"> настоящих критериев) и с учетом критериев вероятности несоблюдения обязательных требований (</w:t>
      </w:r>
      <w:hyperlink w:anchor="P515" w:history="1">
        <w:r>
          <w:rPr>
            <w:color w:val="0000FF"/>
          </w:rPr>
          <w:t>раздел III</w:t>
        </w:r>
      </w:hyperlink>
      <w:r>
        <w:t xml:space="preserve"> настоящих критериев).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Title"/>
        <w:jc w:val="center"/>
        <w:outlineLvl w:val="2"/>
      </w:pPr>
      <w:bookmarkStart w:id="2" w:name="P414"/>
      <w:bookmarkEnd w:id="2"/>
      <w:r>
        <w:t>II. Критерии тяжести потенциальных негативных последствий</w:t>
      </w:r>
    </w:p>
    <w:p w:rsidR="00362D8F" w:rsidRDefault="00362D8F">
      <w:pPr>
        <w:pStyle w:val="ConsPlusTitle"/>
        <w:jc w:val="center"/>
      </w:pPr>
      <w:r>
        <w:t>возможного несоблюдения обязательных требований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ind w:firstLine="540"/>
        <w:jc w:val="both"/>
      </w:pPr>
      <w:bookmarkStart w:id="3" w:name="P417"/>
      <w:bookmarkEnd w:id="3"/>
      <w:r>
        <w:t xml:space="preserve">2. При отнесении объектов государственного надзора (за исключением объектов государственного надзора, указанных в </w:t>
      </w:r>
      <w:hyperlink w:anchor="P504" w:history="1">
        <w:r>
          <w:rPr>
            <w:color w:val="0000FF"/>
          </w:rPr>
          <w:t>таблице N 4</w:t>
        </w:r>
      </w:hyperlink>
      <w:r>
        <w:t xml:space="preserve"> настоящих критериев) к категориям риска используются критерий "Виды осуществляемой деятельности" в соответствии с </w:t>
      </w:r>
      <w:hyperlink w:anchor="P420" w:history="1">
        <w:r>
          <w:rPr>
            <w:color w:val="0000FF"/>
          </w:rPr>
          <w:t>таблицей N 1</w:t>
        </w:r>
      </w:hyperlink>
      <w:r>
        <w:t xml:space="preserve"> и критерии риска в соответствии с </w:t>
      </w:r>
      <w:hyperlink w:anchor="P460" w:history="1">
        <w:r>
          <w:rPr>
            <w:color w:val="0000FF"/>
          </w:rPr>
          <w:t>таблицей N 3</w:t>
        </w:r>
      </w:hyperlink>
      <w:r>
        <w:t xml:space="preserve">, за исключением объектов государственного надзора, указанных в </w:t>
      </w:r>
      <w:hyperlink w:anchor="P418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362D8F" w:rsidRDefault="00362D8F">
      <w:pPr>
        <w:pStyle w:val="ConsPlusNormal"/>
        <w:spacing w:before="220"/>
        <w:ind w:firstLine="540"/>
        <w:jc w:val="both"/>
      </w:pPr>
      <w:bookmarkStart w:id="4" w:name="P418"/>
      <w:bookmarkEnd w:id="4"/>
      <w:r>
        <w:t xml:space="preserve">При отнесении объектов государственного надзора, осуществляющих содержание и разведение свиней, их убой, переработку и хранение продукции свиноводства, к категориям риска используется критерий "Виды осуществляемой деятельности" в соответствии с </w:t>
      </w:r>
      <w:hyperlink w:anchor="P420" w:history="1">
        <w:r>
          <w:rPr>
            <w:color w:val="0000FF"/>
          </w:rPr>
          <w:t>таблицей N 1</w:t>
        </w:r>
      </w:hyperlink>
      <w:r>
        <w:t xml:space="preserve"> и критерии риска в соответствии с </w:t>
      </w:r>
      <w:hyperlink w:anchor="P447" w:history="1">
        <w:r>
          <w:rPr>
            <w:color w:val="0000FF"/>
          </w:rPr>
          <w:t>таблицами N 2</w:t>
        </w:r>
      </w:hyperlink>
      <w:r>
        <w:t xml:space="preserve"> и </w:t>
      </w:r>
      <w:hyperlink w:anchor="P460" w:history="1">
        <w:r>
          <w:rPr>
            <w:color w:val="0000FF"/>
          </w:rPr>
          <w:t>3</w:t>
        </w:r>
      </w:hyperlink>
      <w:r>
        <w:t>.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jc w:val="right"/>
      </w:pPr>
      <w:bookmarkStart w:id="5" w:name="P420"/>
      <w:bookmarkEnd w:id="5"/>
      <w:r>
        <w:t>таблица N 1</w:t>
      </w:r>
    </w:p>
    <w:p w:rsidR="00362D8F" w:rsidRDefault="00362D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70"/>
        <w:gridCol w:w="1070"/>
      </w:tblGrid>
      <w:tr w:rsidR="00362D8F">
        <w:tc>
          <w:tcPr>
            <w:tcW w:w="7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2D8F" w:rsidRDefault="00362D8F">
            <w:pPr>
              <w:pStyle w:val="ConsPlusNormal"/>
              <w:jc w:val="center"/>
            </w:pPr>
            <w:r>
              <w:t>Виды осуществляемой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Баллы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bookmarkStart w:id="6" w:name="P424"/>
            <w:bookmarkEnd w:id="6"/>
            <w:r>
              <w:t>1.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 xml:space="preserve">Разведение, выращивание, содержание, перемещение (в том числе перевозка и перегон), лечение, оборот и убой животных, за исключением случаев, указанных в </w:t>
            </w:r>
            <w:hyperlink w:anchor="P436" w:history="1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настоящей таблицы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10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bookmarkStart w:id="7" w:name="P427"/>
            <w:bookmarkEnd w:id="7"/>
            <w:r>
              <w:t>2.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 xml:space="preserve">Перемещение, хранение, переработка, утилизация биологических отходов (трупов животных и птиц, абортированных и мертворожденных плодов, ветеринарных </w:t>
            </w:r>
            <w:proofErr w:type="spellStart"/>
            <w:r>
              <w:t>конфискатов</w:t>
            </w:r>
            <w:proofErr w:type="spellEnd"/>
            <w:r>
              <w:t>, других отходов, не пригодных в пищу людям и на корм животным)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9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>3.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 xml:space="preserve">Производство, переработка, хранение, транспортировка, реализация подконтрольных товаров, за исключением случаев, указанных в </w:t>
            </w:r>
            <w:hyperlink w:anchor="P424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427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433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436" w:history="1">
              <w:r>
                <w:rPr>
                  <w:color w:val="0000FF"/>
                </w:rPr>
                <w:t>5</w:t>
              </w:r>
            </w:hyperlink>
            <w:r>
              <w:t xml:space="preserve"> и </w:t>
            </w:r>
            <w:hyperlink w:anchor="P439" w:history="1">
              <w:r>
                <w:rPr>
                  <w:color w:val="0000FF"/>
                </w:rPr>
                <w:t>6</w:t>
              </w:r>
            </w:hyperlink>
            <w:r>
              <w:t xml:space="preserve"> настоящей таблицы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8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bookmarkStart w:id="8" w:name="P433"/>
            <w:bookmarkEnd w:id="8"/>
            <w:r>
              <w:t>4.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 xml:space="preserve">Хранение, транспортировка и реализация подконтрольных товаров, включенных в перечень подконтрольных товаров, на которые могут проводить оформление ветеринарных сопроводительных документов </w:t>
            </w:r>
            <w:r>
              <w:lastRenderedPageBreak/>
              <w:t xml:space="preserve">аттестованные специалисты в области ветеринарии, не являющиеся уполномоченными лицами органов и организаций, входящих в систему Государственной ветеринарной службы Российской Федерации, утверждаемый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ветеринарию, за исключением случаев, установленных </w:t>
            </w:r>
            <w:hyperlink w:anchor="P424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, </w:t>
            </w:r>
            <w:hyperlink w:anchor="P427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436" w:history="1">
              <w:r>
                <w:rPr>
                  <w:color w:val="0000FF"/>
                </w:rPr>
                <w:t>5</w:t>
              </w:r>
            </w:hyperlink>
            <w:r>
              <w:t xml:space="preserve"> и </w:t>
            </w:r>
            <w:hyperlink w:anchor="P439" w:history="1">
              <w:r>
                <w:rPr>
                  <w:color w:val="0000FF"/>
                </w:rPr>
                <w:t>6</w:t>
              </w:r>
            </w:hyperlink>
            <w:r>
              <w:t xml:space="preserve"> настоящей таблицы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bookmarkStart w:id="9" w:name="P436"/>
            <w:bookmarkEnd w:id="9"/>
            <w:r>
              <w:t>5.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 xml:space="preserve">Хранение, транспортировка и реализация подконтрольных товаров, включенных в перечень продукции животного происхождения, на которую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товаров, включенных в Единый </w:t>
            </w:r>
            <w:hyperlink r:id="rId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товаров, подлежащих ветеринарному контролю (надзору), утвержденный решением Комиссии Таможенного союза от 18 июня 2010 г. N 317 "О применении ветеринарно-санитарных мер в Евразийском экономическом союзе", и (или) участниками оборота указанных товаров, могут оформлять ветеринарные сопроводительные документы, утверждаемый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ветеринарию, за исключением случаев, установленных </w:t>
            </w:r>
            <w:hyperlink w:anchor="P427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 и </w:t>
            </w:r>
            <w:hyperlink w:anchor="P439" w:history="1">
              <w:r>
                <w:rPr>
                  <w:color w:val="0000FF"/>
                </w:rPr>
                <w:t>6</w:t>
              </w:r>
            </w:hyperlink>
            <w:r>
              <w:t xml:space="preserve"> настоящей таблицы; добыча (вылов) водных биологических ресурсов и их транспортировка до места их переработки и (или) места проведения ветеринарно-санитарной экспертизы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6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</w:pPr>
            <w:bookmarkStart w:id="10" w:name="P439"/>
            <w:bookmarkEnd w:id="10"/>
            <w:r>
              <w:t>6.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</w:pPr>
            <w:r>
              <w:t>Производство, хранение, транспортировка, реализация кормов и кормовых добавок для животных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5</w:t>
            </w:r>
          </w:p>
        </w:tc>
      </w:tr>
    </w:tbl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ind w:firstLine="540"/>
        <w:jc w:val="both"/>
      </w:pPr>
      <w:r>
        <w:t>При осуществлении 2 и более видов деятельности по критерию "Виды осуществляемой деятельности" учитывается самый высокий балл, присвоенный по соответствующему виду осуществляемой деятельности.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Title"/>
        <w:jc w:val="center"/>
        <w:outlineLvl w:val="3"/>
      </w:pPr>
      <w:r>
        <w:t>Критерии риска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jc w:val="right"/>
      </w:pPr>
      <w:bookmarkStart w:id="11" w:name="P447"/>
      <w:bookmarkEnd w:id="11"/>
      <w:r>
        <w:t>таблица N 2</w:t>
      </w:r>
    </w:p>
    <w:p w:rsidR="00362D8F" w:rsidRDefault="00362D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2"/>
        <w:gridCol w:w="3112"/>
      </w:tblGrid>
      <w:tr w:rsidR="00362D8F"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2D8F" w:rsidRDefault="00362D8F">
            <w:pPr>
              <w:pStyle w:val="ConsPlusNormal"/>
              <w:jc w:val="center"/>
            </w:pPr>
            <w:r>
              <w:t xml:space="preserve">Уровень </w:t>
            </w:r>
            <w:proofErr w:type="spellStart"/>
            <w:r>
              <w:t>компартмента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Баллы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 xml:space="preserve">I </w:t>
            </w:r>
            <w:proofErr w:type="spellStart"/>
            <w:r>
              <w:t>компартмент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1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 xml:space="preserve">II </w:t>
            </w:r>
            <w:proofErr w:type="spellStart"/>
            <w:r>
              <w:t>компартмент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0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 xml:space="preserve">III </w:t>
            </w:r>
            <w:proofErr w:type="spellStart"/>
            <w:r>
              <w:t>компартмент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-1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</w:pPr>
            <w:r>
              <w:t xml:space="preserve">IV </w:t>
            </w:r>
            <w:proofErr w:type="spellStart"/>
            <w:r>
              <w:t>компартмент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-2</w:t>
            </w:r>
          </w:p>
        </w:tc>
      </w:tr>
    </w:tbl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jc w:val="right"/>
      </w:pPr>
      <w:bookmarkStart w:id="12" w:name="P460"/>
      <w:bookmarkEnd w:id="12"/>
      <w:r>
        <w:t>таблица N 3</w:t>
      </w:r>
    </w:p>
    <w:p w:rsidR="00362D8F" w:rsidRDefault="00362D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8"/>
        <w:gridCol w:w="1433"/>
      </w:tblGrid>
      <w:tr w:rsidR="00362D8F"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2D8F" w:rsidRDefault="00362D8F">
            <w:pPr>
              <w:pStyle w:val="ConsPlusNormal"/>
              <w:jc w:val="center"/>
            </w:pPr>
            <w:r>
              <w:t xml:space="preserve">Период времени с последнего случая возникновения (регистрации) заразных, в том числе особо опасных, болезней животных, по которым могут </w:t>
            </w:r>
            <w:r>
              <w:lastRenderedPageBreak/>
              <w:t>устанавливаться ограничительные мероприятия (карантин), на территории объекта государственного надзора при осуществлении деятельности по разведению, выращиванию, содержанию и обороту животных (на дату принятия решения об отнесении объекта государственного надзора к категории риска)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lastRenderedPageBreak/>
              <w:t>Баллы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>менее 1 года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5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>1 год и более, но менее 2 лет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4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>2 года и более, но менее 3 лет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3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>3 года и более, но менее 4 лет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2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>4 года и более, но менее 5 лет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1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08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>5 лет и более либо заразные, в том числе особо опасные, болезни животных не возникали (не регистрировались)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0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</w:pPr>
            <w:r>
              <w:t>деятельность по разведению, выращиванию, содержанию и обороту животных не осуществляется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0</w:t>
            </w:r>
          </w:p>
        </w:tc>
      </w:tr>
    </w:tbl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ind w:firstLine="540"/>
        <w:jc w:val="both"/>
      </w:pPr>
      <w:r>
        <w:t xml:space="preserve">3. Отнесение объектов государственного надзора, указанных в </w:t>
      </w:r>
      <w:hyperlink w:anchor="P417" w:history="1">
        <w:r>
          <w:rPr>
            <w:color w:val="0000FF"/>
          </w:rPr>
          <w:t>абзаце первом пункта 2 раздела II</w:t>
        </w:r>
      </w:hyperlink>
      <w:r>
        <w:t xml:space="preserve"> настоящих критериев, к определенной категории риска рассчитывается исходя из присвоенных объекту государственного надзора критериев.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>Значение показателя риска (ПР1) определяется по формуле: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jc w:val="center"/>
      </w:pPr>
      <w:r>
        <w:t>ПР1 = К1 + К3 - 1,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ind w:firstLine="540"/>
        <w:jc w:val="both"/>
      </w:pPr>
      <w:r>
        <w:t>где: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К1 - балл, присвоенный по критерию "Виды осуществляемой деятельности" в соответствии с </w:t>
      </w:r>
      <w:hyperlink w:anchor="P420" w:history="1">
        <w:r>
          <w:rPr>
            <w:color w:val="0000FF"/>
          </w:rPr>
          <w:t>таблицей N 1</w:t>
        </w:r>
      </w:hyperlink>
      <w:r>
        <w:t>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К3 - балл, присвоенный по критерию риска в соответствии с </w:t>
      </w:r>
      <w:hyperlink w:anchor="P460" w:history="1">
        <w:r>
          <w:rPr>
            <w:color w:val="0000FF"/>
          </w:rPr>
          <w:t>таблицей N 3</w:t>
        </w:r>
      </w:hyperlink>
      <w:r>
        <w:t>.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Отнесение объектов государственного надзора, указанных в </w:t>
      </w:r>
      <w:hyperlink w:anchor="P418" w:history="1">
        <w:r>
          <w:rPr>
            <w:color w:val="0000FF"/>
          </w:rPr>
          <w:t>абзаце втором пункта 2 раздела II</w:t>
        </w:r>
      </w:hyperlink>
      <w:r>
        <w:t xml:space="preserve"> настоящих критериев, к определенной категории риска рассчитывается исходя из присвоенных объекту государственного надзора критериев.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>Значение показателя риска (ПР2) определяется по формуле: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jc w:val="center"/>
      </w:pPr>
      <w:r>
        <w:t>ПР2 = К1 + К2 + К3,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ind w:firstLine="540"/>
        <w:jc w:val="both"/>
      </w:pPr>
      <w:r>
        <w:t>где: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К1 - балл, присвоенный по критерию "Виды осуществляемой деятельности" в соответствии с </w:t>
      </w:r>
      <w:hyperlink w:anchor="P420" w:history="1">
        <w:r>
          <w:rPr>
            <w:color w:val="0000FF"/>
          </w:rPr>
          <w:t>таблицей N 1</w:t>
        </w:r>
      </w:hyperlink>
      <w:r>
        <w:t>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К2 - балл, присвоенный по критерию риска в соответствии с </w:t>
      </w:r>
      <w:hyperlink w:anchor="P447" w:history="1">
        <w:r>
          <w:rPr>
            <w:color w:val="0000FF"/>
          </w:rPr>
          <w:t>таблицей N 2</w:t>
        </w:r>
      </w:hyperlink>
      <w:r>
        <w:t>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К3 - балл, присвоенный по критерию риска в соответствии с </w:t>
      </w:r>
      <w:hyperlink w:anchor="P460" w:history="1">
        <w:r>
          <w:rPr>
            <w:color w:val="0000FF"/>
          </w:rPr>
          <w:t>таблицей N 3</w:t>
        </w:r>
      </w:hyperlink>
      <w:r>
        <w:t>.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>Отнесение объекта государственного надзора к категории риска осуществляется с учетом следующих значений показателя риска (ПР1, ПР2):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lastRenderedPageBreak/>
        <w:t>чрезвычайно высокая категории риска - если показатель риска (ПР1, ПР2) составляет 14 баллов и более;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>высокая категория риска - если показатель риска (ПР1, ПР2) составляет от 10 до 13 баллов;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>средняя категория риска - если показатель риска (ПР1, ПР2) составляет от 8 до 9 баллов;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>умеренная категория риска - если показатель риска (ПР1, ПР2) составляет от 5 до 7 баллов;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>низкая категория риска - если показатель риска (ПР1, ПР2) составляет 4 балла и менее.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>4. Отнесение отдельных объектов государственного надзора к категориям риска осуществляется в соответствии с таблицей N 4.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jc w:val="right"/>
      </w:pPr>
      <w:bookmarkStart w:id="13" w:name="P504"/>
      <w:bookmarkEnd w:id="13"/>
      <w:r>
        <w:t>таблица N 4</w:t>
      </w:r>
    </w:p>
    <w:p w:rsidR="00362D8F" w:rsidRDefault="00362D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0"/>
        <w:gridCol w:w="2554"/>
      </w:tblGrid>
      <w:tr w:rsidR="00362D8F"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2D8F" w:rsidRDefault="00362D8F">
            <w:pPr>
              <w:pStyle w:val="ConsPlusNormal"/>
              <w:jc w:val="center"/>
            </w:pPr>
            <w:r>
              <w:t>Объекты государственного надзора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Категория риска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>Объекты, являющиеся источниками особо опасных организмов (научно-исследовательские и диагностические ветеринарные лаборатории, скотомогильники, места эндемической циркуляции)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чрезвычайно высокий риск</w:t>
            </w: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  <w:r>
              <w:t>Объекты, на которых действуют карантин и (или) ограничительные мероприятия по заразным, в том числе особо опасным, болезням животных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62D8F" w:rsidRDefault="00362D8F">
            <w:pPr>
              <w:pStyle w:val="ConsPlusNormal"/>
            </w:pPr>
          </w:p>
        </w:tc>
      </w:tr>
      <w:tr w:rsidR="00362D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D8F" w:rsidRDefault="00362D8F">
            <w:pPr>
              <w:pStyle w:val="ConsPlusNormal"/>
            </w:pPr>
            <w:r>
              <w:t xml:space="preserve">Объекты, на которых осуществляется </w:t>
            </w:r>
            <w:proofErr w:type="spellStart"/>
            <w:r>
              <w:t>карантинирование</w:t>
            </w:r>
            <w:proofErr w:type="spellEnd"/>
            <w:r>
              <w:t xml:space="preserve"> животных при их ввозе из иностранных государств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D8F" w:rsidRDefault="00362D8F">
            <w:pPr>
              <w:pStyle w:val="ConsPlusNormal"/>
              <w:jc w:val="center"/>
            </w:pPr>
            <w:r>
              <w:t>высокий риск</w:t>
            </w:r>
          </w:p>
        </w:tc>
      </w:tr>
    </w:tbl>
    <w:p w:rsidR="00362D8F" w:rsidRDefault="00362D8F">
      <w:pPr>
        <w:pStyle w:val="ConsPlusNormal"/>
        <w:jc w:val="both"/>
      </w:pPr>
    </w:p>
    <w:p w:rsidR="00362D8F" w:rsidRDefault="00362D8F">
      <w:pPr>
        <w:pStyle w:val="ConsPlusTitle"/>
        <w:jc w:val="center"/>
        <w:outlineLvl w:val="2"/>
      </w:pPr>
      <w:bookmarkStart w:id="14" w:name="P515"/>
      <w:bookmarkEnd w:id="14"/>
      <w:r>
        <w:t>Раздел III. Критерии вероятности несоблюдения</w:t>
      </w:r>
    </w:p>
    <w:p w:rsidR="00362D8F" w:rsidRDefault="00362D8F">
      <w:pPr>
        <w:pStyle w:val="ConsPlusTitle"/>
        <w:jc w:val="center"/>
      </w:pPr>
      <w:r>
        <w:t>обязательных требований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ind w:firstLine="540"/>
        <w:jc w:val="both"/>
      </w:pPr>
      <w:bookmarkStart w:id="15" w:name="P518"/>
      <w:bookmarkEnd w:id="15"/>
      <w:r>
        <w:t xml:space="preserve">5. Объекты государственного надзора, подлежащие отнесению в соответствии с </w:t>
      </w:r>
      <w:hyperlink w:anchor="P414" w:history="1">
        <w:r>
          <w:rPr>
            <w:color w:val="0000FF"/>
          </w:rPr>
          <w:t>разделом II</w:t>
        </w:r>
      </w:hyperlink>
      <w:r>
        <w:t xml:space="preserve"> настоящих критериев к категориям высокого, среднего, умеренного и низкого рисков, подлежат отнесению к категориям чрезвычайно высокого, высокого, среднего и умеренного рисков соответственно при наличии вступившего в законную силу в течение года, предшествующего дате принятия решения об отнесении объекта государственного надзора к категории риска, постановления о привлечении к административной ответственности за совершенное на указанном объекте государственного надзора административное правонарушение с назначением административного наказания юридическому лицу, его должностным лицам или работникам, индивидуальному предпринимателю, его работникам за совершение административных правонарушений, связанных с: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нарушением не менее 3 раз правил карантина животных или других ветеринарно-санитарных правил, административная ответственность за которое предусмотрена </w:t>
      </w:r>
      <w:hyperlink r:id="rId5" w:history="1">
        <w:r>
          <w:rPr>
            <w:color w:val="0000FF"/>
          </w:rPr>
          <w:t>частью 1 статьи 10.6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нарушением правил борьбы с карантинными и особо опасными болезнями животных, административная ответственность за которое предусмотрена </w:t>
      </w:r>
      <w:hyperlink r:id="rId6" w:history="1">
        <w:r>
          <w:rPr>
            <w:color w:val="0000FF"/>
          </w:rPr>
          <w:t>частью 2 статьи 10.6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сокрытием от органов, осуществляющих федеральный государственный ветеринарный надзор, сведений о внезапном падеже или об одновременных массовых заболеваниях животных либо несвоевременным извещением указанных органов о внезапном падеже или об одновременных массовых заболеваниях животных, а также несвоевременным принятием либо </w:t>
      </w:r>
      <w:r>
        <w:lastRenderedPageBreak/>
        <w:t xml:space="preserve">непринятием мер по локализации этих падежа и заболеваний, административная ответственность за которые предусмотрена </w:t>
      </w:r>
      <w:hyperlink r:id="rId7" w:history="1">
        <w:r>
          <w:rPr>
            <w:color w:val="0000FF"/>
          </w:rPr>
          <w:t>частью 1 статьи 10.7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сокрытием от органов, осуществляющих федеральный государственный ветеринарный надзор, сведений о внезапном падеже или об одновременных массовых заболеваниях животных либо несвоевременным извещением указанных органов о внезапном падеже или об одновременных массовых заболеваниях животных, а также несвоевременным принятием либо непринятием мер по локализации этих падежа и заболеваний, совершенных в период осуществления на соответствующей территории ограничительных мероприятий (карантина), административная ответственность за которые предусмотрена </w:t>
      </w:r>
      <w:hyperlink r:id="rId8" w:history="1">
        <w:r>
          <w:rPr>
            <w:color w:val="0000FF"/>
          </w:rPr>
          <w:t>частью 2 статьи 10.7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нарушением не менее 3 раз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животноводства, административная ответственность за которое предусмотрена </w:t>
      </w:r>
      <w:hyperlink r:id="rId9" w:history="1">
        <w:r>
          <w:rPr>
            <w:color w:val="0000FF"/>
          </w:rPr>
          <w:t>частью 1 статьи 10.8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перевозкой не менее 2 раз сельскохозяйственных животных и (или) продуктов животноводства без ветеринарных сопроводительных документов, за исключением перевозки сельскохозяйственных животных и (или) продуктов животноводства для личного пользования, административная ответственность за которую предусмотрена </w:t>
      </w:r>
      <w:hyperlink r:id="rId10" w:history="1">
        <w:r>
          <w:rPr>
            <w:color w:val="0000FF"/>
          </w:rPr>
          <w:t>частью 2 статьи 10.8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нарушением ветеринарно-санитарных правил сбора, утилизации и уничтожения биологических отходов, административная ответственность за которое предусмотрена </w:t>
      </w:r>
      <w:hyperlink r:id="rId11" w:history="1">
        <w:r>
          <w:rPr>
            <w:color w:val="0000FF"/>
          </w:rPr>
          <w:t>частью 3 статьи 10.8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нарушением не менее 2 раз изготовителем, исполнителем (лицом, выполняющим функции иностранного изготовителя),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выпуском в обращение продукции, не соответствующей таким требованиям, ответственность за которое предусмотрена </w:t>
      </w:r>
      <w:hyperlink r:id="rId12" w:history="1">
        <w:r>
          <w:rPr>
            <w:color w:val="0000FF"/>
          </w:rPr>
          <w:t>частью 1 статьи 14.43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нарушением изготовителем, исполнителем (лицом, выполняющим функции иностранного изготовителя),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выпуском в обращение продукции, не соответствующей таким требованиям, повлекшим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создавшим угрозу причинения вреда жизни или здоровью граждан, окружающей среде, жизни или здоровью животных и растений, ответственность за которое предусмотрена </w:t>
      </w:r>
      <w:hyperlink r:id="rId13" w:history="1">
        <w:r>
          <w:rPr>
            <w:color w:val="0000FF"/>
          </w:rPr>
          <w:t>частью 2 статьи 14.43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повторным нарушением изготовителем, исполнителем (лицом, выполняющим функции иностранного изготовителя),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</w:t>
      </w:r>
      <w:r>
        <w:lastRenderedPageBreak/>
        <w:t xml:space="preserve">эксплуатации, хранения, перевозки, реализации и утилизации либо выпуском в обращение продукции, не соответствующей таким требованиям, повлекшим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создавшим угрозу причинения вреда жизни или здоровью граждан, окружающей среде, жизни или здоровью животных и растений, ответственность за которое предусмотрена </w:t>
      </w:r>
      <w:hyperlink r:id="rId14" w:history="1">
        <w:r>
          <w:rPr>
            <w:color w:val="0000FF"/>
          </w:rPr>
          <w:t>частью 3 статьи 14.43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невыполнением в установленный срок законных требований лиц, уполномоченных на осуществление федерального государственного ветеринарного надзора, об устранении нарушений ветеринарно-санитарных требований и правил, ветеринарных правил, административная ответственность за которое предусмотрена </w:t>
      </w:r>
      <w:hyperlink r:id="rId15" w:history="1">
        <w:r>
          <w:rPr>
            <w:color w:val="0000FF"/>
          </w:rPr>
          <w:t>частью 8 статьи 19.5</w:t>
        </w:r>
      </w:hyperlink>
      <w:r>
        <w:t xml:space="preserve"> Кодекса Российской Федерации об административных правонарушениях;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непринятием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административная ответственность за которое предусмотрена </w:t>
      </w:r>
      <w:hyperlink r:id="rId16" w:history="1">
        <w:r>
          <w:rPr>
            <w:color w:val="0000FF"/>
          </w:rPr>
          <w:t>статьей 19.6</w:t>
        </w:r>
      </w:hyperlink>
      <w:r>
        <w:t xml:space="preserve"> Кодекса Российской Федерации об административных правонарушениях.</w:t>
      </w:r>
    </w:p>
    <w:p w:rsidR="00362D8F" w:rsidRDefault="00362D8F">
      <w:pPr>
        <w:pStyle w:val="ConsPlusNormal"/>
        <w:spacing w:before="220"/>
        <w:ind w:firstLine="540"/>
        <w:jc w:val="both"/>
      </w:pPr>
      <w:r>
        <w:t xml:space="preserve">6. Объекты государственного надзора, отнесенные к категориям чрезвычайно высокого, высокого, среднего и умеренного рисков, подлежат отнесению к категориям высокого, среднего, умеренного и низкого рисков соответственно при отсутствии в течение года, предшествующего дате принятия решения об отнесении объекта государственного надзора к категории риска, постановления о привлечении к административной ответственности с назначением административного наказания юридическому лицу, его должностным лицам или работникам, индивидуальному предпринимателю, его работникам за совершение административного правонарушения, указанного в </w:t>
      </w:r>
      <w:hyperlink w:anchor="P518" w:history="1">
        <w:r>
          <w:rPr>
            <w:color w:val="0000FF"/>
          </w:rPr>
          <w:t>пункте 5</w:t>
        </w:r>
      </w:hyperlink>
      <w:r>
        <w:t xml:space="preserve"> настоящего раздела.</w:t>
      </w: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jc w:val="both"/>
      </w:pPr>
    </w:p>
    <w:p w:rsidR="00362D8F" w:rsidRDefault="00362D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160" w:rsidRDefault="00362D8F"/>
    <w:sectPr w:rsidR="006D3160" w:rsidSect="005B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8F"/>
    <w:rsid w:val="00362D8F"/>
    <w:rsid w:val="00471830"/>
    <w:rsid w:val="005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97F81-9DA5-41A0-92F5-0F2A6B6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D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2D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2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2D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2D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2D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4BE6017323D9E035979DF77B950C597E070E9650451EADC9DF169F5F582DB35D79811C0680D025D71A23435DCA3C1C137603E4E4943ACBCo6K" TargetMode="External"/><Relationship Id="rId13" Type="http://schemas.openxmlformats.org/officeDocument/2006/relationships/hyperlink" Target="consultantplus://offline/ref=34C4BE6017323D9E035979DF77B950C597E070E9650451EADC9DF169F5F582DB35D79812C96E070F092BB2307C88A9DEC62A7E3F5049B4o1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C4BE6017323D9E035979DF77B950C597E070E9650451EADC9DF169F5F582DB35D79818C96E0D0F092BB2307C88A9DEC62A7E3F5049B4o1K" TargetMode="External"/><Relationship Id="rId12" Type="http://schemas.openxmlformats.org/officeDocument/2006/relationships/hyperlink" Target="consultantplus://offline/ref=34C4BE6017323D9E035979DF77B950C597E070E9650451EADC9DF169F5F582DB35D79818C16C0D0F092BB2307C88A9DEC62A7E3F5049B4o1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C4BE6017323D9E035979DF77B950C597E070E9650451EADC9DF169F5F582DB35D79811C06D09065C71A23435DCA3C1C137603E4E4943ACBCo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4BE6017323D9E035979DF77B950C597E070E9650451EADC9DF169F5F582DB35D79811C0680D015A71A23435DCA3C1C137603E4E4943ACBCo6K" TargetMode="External"/><Relationship Id="rId11" Type="http://schemas.openxmlformats.org/officeDocument/2006/relationships/hyperlink" Target="consultantplus://offline/ref=34C4BE6017323D9E035979DF77B950C597E070E9650451EADC9DF169F5F582DB35D79814C168080F092BB2307C88A9DEC62A7E3F5049B4o1K" TargetMode="External"/><Relationship Id="rId5" Type="http://schemas.openxmlformats.org/officeDocument/2006/relationships/hyperlink" Target="consultantplus://offline/ref=34C4BE6017323D9E035979DF77B950C597E070E9650451EADC9DF169F5F582DB35D79811C0680D015B71A23435DCA3C1C137603E4E4943ACBCo6K" TargetMode="External"/><Relationship Id="rId15" Type="http://schemas.openxmlformats.org/officeDocument/2006/relationships/hyperlink" Target="consultantplus://offline/ref=34C4BE6017323D9E035979DF77B950C597E070E9650451EADC9DF169F5F582DB35D79818C96E0C0F092BB2307C88A9DEC62A7E3F5049B4o1K" TargetMode="External"/><Relationship Id="rId10" Type="http://schemas.openxmlformats.org/officeDocument/2006/relationships/hyperlink" Target="consultantplus://offline/ref=34C4BE6017323D9E035979DF77B950C597E070E9650451EADC9DF169F5F582DB35D79814C1680A0F092BB2307C88A9DEC62A7E3F5049B4o1K" TargetMode="External"/><Relationship Id="rId4" Type="http://schemas.openxmlformats.org/officeDocument/2006/relationships/hyperlink" Target="consultantplus://offline/ref=34C4BE6017323D9E035979DF77B950C597E176E9640051EADC9DF169F5F582DB35D79812C7690D0F092BB2307C88A9DEC62A7E3F5049B4o1K" TargetMode="External"/><Relationship Id="rId9" Type="http://schemas.openxmlformats.org/officeDocument/2006/relationships/hyperlink" Target="consultantplus://offline/ref=34C4BE6017323D9E035979DF77B950C597E070E9650451EADC9DF169F5F582DB35D79814C1680C0F092BB2307C88A9DEC62A7E3F5049B4o1K" TargetMode="External"/><Relationship Id="rId14" Type="http://schemas.openxmlformats.org/officeDocument/2006/relationships/hyperlink" Target="consultantplus://offline/ref=34C4BE6017323D9E035979DF77B950C597E070E9650451EADC9DF169F5F582DB35D79814C3680F0F092BB2307C88A9DEC62A7E3F5049B4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 Алексей Николаевич</dc:creator>
  <cp:keywords/>
  <dc:description/>
  <cp:lastModifiedBy>Минаков Алексей Николаевич</cp:lastModifiedBy>
  <cp:revision>1</cp:revision>
  <dcterms:created xsi:type="dcterms:W3CDTF">2022-03-17T10:40:00Z</dcterms:created>
  <dcterms:modified xsi:type="dcterms:W3CDTF">2022-03-17T10:41:00Z</dcterms:modified>
</cp:coreProperties>
</file>