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shd w:val="clear" w:color="auto" w:fill="ffff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Результаты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рассмотрения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обращений граждан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, поступивших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в управлени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ветеринарии Новосибирской области за август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г.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/>
        <w:shd w:val="clear" w:color="auto" w:fill="ffff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ind w:firstLine="708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Рассмотрение обращений граждан, объединений граждан, в том числе юридических лиц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(далее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обращения), адресованных начальн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 обращениями граждан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управлении ветеринарии Новосибирской области осуществляет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заместитель начальника управления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ветеринарии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соответствии с должностным регламентом гражданского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служащего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Порядок организации работы с обращениями и проведени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личного приема граждан в управлении ветеринарии Новосибирской области установлен инструкцией, утвержденной приказом начальника управления ветеринарии Новосибирской области от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 №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113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ffffff" w:themeColor="background1" w:fill="ffffff" w:themeFill="background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августе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непосредственно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адрес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начальника управления ветеринарии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поступило 94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граждан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августе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133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в июле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108)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в том числе: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93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письменн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обращений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августе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 </w:t>
      </w:r>
      <w:r/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133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в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июле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108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 электронного документа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 58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(в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августе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 </w:t>
      </w:r>
      <w:r/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119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в июле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84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личных прием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начальника управления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ветеринарии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августе </w:t>
      </w:r>
      <w:r>
        <w:rPr>
          <w:rFonts w:ascii="Times New Roman" w:hAnsi="Times New Roman" w:eastAsia="Times New Roman"/>
          <w:sz w:val="28"/>
          <w:szCs w:val="28"/>
          <w:shd w:val="clear" w:color="ffffff" w:themeColor="background1" w:fill="ffffff" w:themeFill="background1"/>
          <w:lang w:eastAsia="ru-RU"/>
        </w:rPr>
        <w:t xml:space="preserve">зарегистрирован</w:t>
      </w:r>
      <w:r>
        <w:rPr>
          <w:rFonts w:ascii="Times New Roman" w:hAnsi="Times New Roman" w:eastAsia="Times New Roman"/>
          <w:sz w:val="28"/>
          <w:szCs w:val="28"/>
          <w:shd w:val="clear" w:color="ffffff" w:themeColor="background1" w:fill="ffffff" w:themeFill="background1"/>
          <w:lang w:eastAsia="ru-RU"/>
        </w:rPr>
        <w:t xml:space="preserve"> 1 </w:t>
      </w:r>
      <w:r>
        <w:rPr>
          <w:rFonts w:ascii="Times New Roman" w:hAnsi="Times New Roman" w:eastAsia="Times New Roman"/>
          <w:i w:val="0"/>
          <w:iCs w:val="0"/>
          <w:sz w:val="28"/>
          <w:szCs w:val="28"/>
          <w:lang w:eastAsia="ru-RU"/>
        </w:rPr>
        <w:t xml:space="preserve">посетитель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в августе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0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, 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в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июле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4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 года 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запрос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ов 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ообщени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телефонную службу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управления ветеринарии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 зарегистрировано (в том числе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форме СМС-сообщени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августе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в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июле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Общее количество обращений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сообщений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и запросов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августом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уменьшилось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на 39 </w:t>
      </w:r>
      <w:r>
        <w:rPr>
          <w:rFonts w:ascii="Times New Roman" w:hAnsi="Times New Roman" w:eastAsia="Times New Roman"/>
          <w:bCs/>
          <w:sz w:val="28"/>
          <w:szCs w:val="28"/>
          <w:shd w:val="clear" w:color="ffffff" w:themeColor="background1" w:fill="ffffff" w:themeFill="background1"/>
          <w:lang w:eastAsia="ru-RU"/>
        </w:rPr>
        <w:t xml:space="preserve">(</w:t>
      </w:r>
      <w:r>
        <w:rPr>
          <w:rFonts w:ascii="Times New Roman" w:hAnsi="Times New Roman" w:eastAsia="Times New Roman"/>
          <w:bCs/>
          <w:sz w:val="28"/>
          <w:szCs w:val="28"/>
          <w:shd w:val="clear" w:color="ffffff" w:themeColor="background1" w:fill="ffffff" w:themeFill="background1"/>
          <w:lang w:eastAsia="ru-RU"/>
        </w:rPr>
        <w:t xml:space="preserve">29,3%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июлем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24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на 14 </w:t>
      </w:r>
      <w:r>
        <w:rPr>
          <w:rFonts w:ascii="Times New Roman" w:hAnsi="Times New Roman" w:eastAsia="Times New Roman"/>
          <w:sz w:val="28"/>
          <w:szCs w:val="28"/>
          <w:shd w:val="clear" w:color="ffffff" w:themeColor="background1" w:fill="ffffff" w:themeFill="background1"/>
          <w:lang w:eastAsia="ru-RU"/>
        </w:rPr>
        <w:t xml:space="preserve">(</w:t>
      </w:r>
      <w:r>
        <w:rPr>
          <w:rFonts w:ascii="Times New Roman" w:hAnsi="Times New Roman" w:eastAsia="Times New Roman"/>
          <w:sz w:val="28"/>
          <w:szCs w:val="28"/>
          <w:shd w:val="clear" w:color="ffffff" w:themeColor="background1" w:fill="ffffff" w:themeFill="background1"/>
          <w:lang w:eastAsia="ru-RU"/>
        </w:rPr>
        <w:t xml:space="preserve">12,9%</w:t>
      </w:r>
      <w:r>
        <w:rPr>
          <w:rFonts w:ascii="Times New Roman" w:hAnsi="Times New Roman" w:eastAsia="Times New Roman"/>
          <w:sz w:val="28"/>
          <w:szCs w:val="28"/>
          <w:shd w:val="clear" w:color="ffffff" w:themeColor="background1" w:fill="ffffff" w:themeFill="background1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Поднимаемые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гражданами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письменных обращениях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проблемы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связаны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ненадлежащим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содержанием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домашних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животных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(11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нарушениями в области ветеринарии (15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животноводством (12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работой ветеринарной службы (14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причинением вреда здоровью граждан вследствие нападения животных (13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угрозой жителям населенных пунктов со стороны животных (9),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гуманным отношением к животным, созданием приютов (2), пчеловодством (4), содержанием животных (4), деятельностью субъектов торговли (2), качеством товаров (2), загрязнением окружающей среды (2), государственным ветеринарным надзором (3).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Результаты рассмотрения письменных обращений по состоянию на </w:t>
      </w:r>
      <w:r>
        <w:rPr>
          <w:rFonts w:ascii="Times New Roman" w:hAnsi="Times New Roman" w:eastAsia="Times New Roman"/>
          <w:sz w:val="28"/>
          <w:szCs w:val="28"/>
          <w:highlight w:val="none"/>
          <w:shd w:val="clear" w:color="ffffff" w:themeColor="background1" w:fill="ffffff" w:themeFill="background1"/>
          <w:lang w:eastAsia="ru-RU"/>
        </w:rPr>
        <w:t xml:space="preserve">31</w:t>
      </w:r>
      <w:r>
        <w:rPr>
          <w:rFonts w:ascii="Times New Roman" w:hAnsi="Times New Roman" w:eastAsia="Times New Roman"/>
          <w:sz w:val="28"/>
          <w:szCs w:val="28"/>
          <w:highlight w:val="white"/>
          <w:shd w:val="clear" w:color="f2dcdb" w:themeColor="accent2" w:themeTint="33" w:fill="f2dcdb" w:themeFill="accent2" w:themeFillTint="33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white"/>
          <w:shd w:val="clear" w:color="f2dcdb" w:themeColor="accent2" w:themeTint="33" w:fill="f2dcdb" w:themeFill="accent2" w:themeFillTint="33"/>
          <w:lang w:eastAsia="ru-RU"/>
        </w:rPr>
        <w:t xml:space="preserve">08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даны разъяснения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48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находятся на рассмотрении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45.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августе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 </w:t>
      </w:r>
      <w:r/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поступ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ило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2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обращения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августе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 </w:t>
      </w:r>
      <w:r/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6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; в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июле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– 4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left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567" w:right="850" w:bottom="1418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rFonts w:ascii="Calibri" w:hAnsi="Calibri" w:eastAsia="Calibri" w:cs="Times New Roman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List Paragraph"/>
    <w:basedOn w:val="833"/>
    <w:uiPriority w:val="34"/>
    <w:qFormat/>
    <w:pPr>
      <w:contextualSpacing/>
      <w:ind w:left="720"/>
    </w:pPr>
  </w:style>
  <w:style w:type="character" w:styleId="838" w:customStyle="1">
    <w:name w:val="Font Style29"/>
    <w:rPr>
      <w:rFonts w:ascii="Times New Roman" w:hAnsi="Times New Roman" w:cs="Times New Roman"/>
      <w:sz w:val="26"/>
      <w:szCs w:val="26"/>
    </w:rPr>
  </w:style>
  <w:style w:type="paragraph" w:styleId="839">
    <w:name w:val="Balloon Text"/>
    <w:basedOn w:val="833"/>
    <w:link w:val="84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0" w:customStyle="1">
    <w:name w:val="Текст выноски Знак"/>
    <w:basedOn w:val="834"/>
    <w:link w:val="839"/>
    <w:uiPriority w:val="99"/>
    <w:semiHidden/>
    <w:rPr>
      <w:rFonts w:ascii="Tahoma" w:hAnsi="Tahoma" w:eastAsia="Calibri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AEE61-E2C9-474F-9FEC-40A1E31B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Управление ветеренарии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revision>19</cp:revision>
  <dcterms:created xsi:type="dcterms:W3CDTF">2023-06-30T07:54:00Z</dcterms:created>
  <dcterms:modified xsi:type="dcterms:W3CDTF">2024-09-05T08:55:02Z</dcterms:modified>
</cp:coreProperties>
</file>