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ED" w:rsidRDefault="008A4C5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Результаты рассмотрения обращений граждан, поступивших в управление ветеринарии Новосибирской области за </w:t>
      </w:r>
      <w:r w:rsidR="00191DA0">
        <w:rPr>
          <w:rFonts w:ascii="Times New Roman" w:eastAsia="Times New Roman" w:hAnsi="Times New Roman"/>
          <w:b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рь 202</w:t>
      </w:r>
      <w:r w:rsidR="00191DA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</w:p>
    <w:p w:rsidR="00C93CED" w:rsidRDefault="00C93CE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CED" w:rsidRDefault="008A4C5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Рассмотрение обращений граждан, объединений граждан, в том числе юридических лиц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(далее – обращения), адресованных начальн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регламентирующим порядок рассмотрения обращений граждан. Организацию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обращениями граждан в управлении ветеринарии Новосибирской области осуществляет заместитель начальника управления ветеринарии Новосибирской области в соответствии с должностным регламентом гражданского служащего.</w:t>
      </w:r>
    </w:p>
    <w:p w:rsidR="00C93CED" w:rsidRDefault="008A4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организации работы с обращениями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проведения личного приема граждан в управлении ветеринарии Новосибирской области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боты с обращениями граждан в управлении ветеринарии Новосибирской области».</w:t>
      </w:r>
    </w:p>
    <w:p w:rsidR="00C93CED" w:rsidRDefault="008A4C53">
      <w:pPr>
        <w:shd w:val="clear" w:color="FFFFFF" w:themeColor="background1" w:fill="FFFFFF" w:themeFill="background1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191DA0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 202</w:t>
      </w:r>
      <w:r w:rsidR="00191DA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непосредственно в адрес начальника управления ветеринарии Новосибирской области поступило </w:t>
      </w:r>
      <w:r w:rsidR="00191DA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191DA0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граждан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2024 года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C93CED" w:rsidRDefault="008A4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191DA0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письменных обращений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2024 года - 1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9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декабре 2024 года -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 форме электронного документа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- 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191DA0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(в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 2024 года - 1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декабре 2024 года -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3CED" w:rsidRDefault="008A4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191DA0" w:rsidRPr="00191DA0">
        <w:rPr>
          <w:rFonts w:ascii="Times New Roman" w:eastAsia="Times New Roman" w:hAnsi="Times New Roman"/>
          <w:sz w:val="28"/>
          <w:szCs w:val="28"/>
          <w:lang w:eastAsia="ru-RU"/>
        </w:rPr>
        <w:t xml:space="preserve">на личных приемах начальника управления ветеринарии Новосибирской области в январе посетителей не зарегистрировано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январе 2024 года -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декабре 2024 года -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91DA0" w:rsidRDefault="008A4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</w:t>
      </w:r>
      <w:r w:rsidR="00191DA0" w:rsidRPr="00191DA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запросов и </w:t>
      </w:r>
      <w:r w:rsidR="00191DA0" w:rsidRPr="00191DA0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191DA0" w:rsidRPr="00191DA0">
        <w:rPr>
          <w:rFonts w:ascii="Times New Roman" w:eastAsia="Times New Roman" w:hAnsi="Times New Roman"/>
          <w:sz w:val="28"/>
          <w:szCs w:val="28"/>
          <w:lang w:eastAsia="ru-RU"/>
        </w:rPr>
        <w:t xml:space="preserve">ообщений в телефонную службу управления ветеринарии Новосибирской области не зарегистрировано (в том числе в форме СМС-сообщений) </w:t>
      </w:r>
      <w:r w:rsidR="00191DA0" w:rsidRPr="0019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91DA0" w:rsidRPr="00191DA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январе </w:t>
      </w:r>
      <w:r w:rsidR="00191DA0" w:rsidRPr="00191DA0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191DA0" w:rsidRPr="0019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- 0, в декабре 202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191DA0" w:rsidRPr="00191D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191DA0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191DA0" w:rsidRPr="00191DA0"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C93CED" w:rsidRDefault="008A4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обращений, сообщений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="00191DA0">
        <w:rPr>
          <w:rFonts w:ascii="Times New Roman" w:eastAsia="Times New Roman" w:hAnsi="Times New Roman"/>
          <w:bCs/>
          <w:sz w:val="28"/>
          <w:szCs w:val="28"/>
          <w:lang w:eastAsia="ru-RU"/>
        </w:rPr>
        <w:t>январ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ем </w:t>
      </w:r>
      <w:r w:rsidRPr="00776C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202</w:t>
      </w:r>
      <w:r w:rsidR="00191DA0" w:rsidRPr="00776C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4</w:t>
      </w:r>
      <w:r w:rsidRPr="00776C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76C51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года</w:t>
      </w:r>
      <w:r w:rsidRPr="00776C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увеличилось на 2</w:t>
      </w:r>
      <w:r w:rsidR="00776C51" w:rsidRPr="00776C51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776C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76C51">
        <w:rPr>
          <w:rFonts w:ascii="Times New Roman" w:eastAsia="Times New Roman" w:hAnsi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>(</w:t>
      </w:r>
      <w:r w:rsidR="00776C51" w:rsidRPr="00776C51">
        <w:rPr>
          <w:rFonts w:ascii="Times New Roman" w:eastAsia="Times New Roman" w:hAnsi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>15</w:t>
      </w:r>
      <w:r w:rsidRPr="00776C51">
        <w:rPr>
          <w:rFonts w:ascii="Times New Roman" w:eastAsia="Times New Roman" w:hAnsi="Times New Roman"/>
          <w:bCs/>
          <w:sz w:val="28"/>
          <w:szCs w:val="28"/>
          <w:shd w:val="clear" w:color="FFFFFF" w:themeColor="background1" w:fill="FFFFFF" w:themeFill="background1"/>
          <w:lang w:eastAsia="ru-RU"/>
        </w:rPr>
        <w:t>2%</w:t>
      </w:r>
      <w:r w:rsidRPr="00776C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r w:rsidRPr="00776C5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191DA0" w:rsidRPr="00776C51">
        <w:rPr>
          <w:rFonts w:ascii="Times New Roman" w:eastAsia="Times New Roman" w:hAnsi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>дека</w:t>
      </w:r>
      <w:r w:rsidRPr="00776C51">
        <w:rPr>
          <w:rFonts w:ascii="Times New Roman" w:eastAsia="Times New Roman" w:hAnsi="Times New Roman"/>
          <w:i/>
          <w:sz w:val="28"/>
          <w:szCs w:val="28"/>
          <w:shd w:val="clear" w:color="FFFFFF" w:themeColor="background1" w:fill="FFFFFF" w:themeFill="background1"/>
          <w:lang w:eastAsia="ru-RU"/>
        </w:rPr>
        <w:t xml:space="preserve">брем </w:t>
      </w:r>
      <w:r w:rsidRPr="00776C5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2024 года </w:t>
      </w:r>
      <w:r w:rsidR="00776C51" w:rsidRPr="00776C51">
        <w:rPr>
          <w:rFonts w:ascii="Times New Roman" w:eastAsia="Times New Roman" w:hAnsi="Times New Roman"/>
          <w:sz w:val="28"/>
          <w:szCs w:val="28"/>
          <w:lang w:eastAsia="ru-RU"/>
        </w:rPr>
        <w:t>– уменьшил</w:t>
      </w:r>
      <w:r w:rsidRPr="00776C51">
        <w:rPr>
          <w:rFonts w:ascii="Times New Roman" w:eastAsia="Times New Roman" w:hAnsi="Times New Roman"/>
          <w:sz w:val="28"/>
          <w:szCs w:val="28"/>
          <w:lang w:eastAsia="ru-RU"/>
        </w:rPr>
        <w:t xml:space="preserve">ось на </w:t>
      </w:r>
      <w:r w:rsidR="00776C51" w:rsidRPr="00776C51">
        <w:rPr>
          <w:rFonts w:ascii="Times New Roman" w:eastAsia="Times New Roman" w:hAnsi="Times New Roman"/>
          <w:sz w:val="28"/>
          <w:szCs w:val="28"/>
          <w:shd w:val="clear" w:color="FFFFFF" w:themeColor="background1" w:fill="FFFFFF" w:themeFill="background1"/>
          <w:lang w:eastAsia="ru-RU"/>
        </w:rPr>
        <w:t>1</w:t>
      </w:r>
      <w:r w:rsidRPr="00776C51">
        <w:rPr>
          <w:rFonts w:ascii="Times New Roman" w:eastAsia="Times New Roman" w:hAnsi="Times New Roman"/>
          <w:sz w:val="28"/>
          <w:szCs w:val="28"/>
          <w:shd w:val="clear" w:color="FFFFFF" w:themeColor="background1" w:fill="FFFFFF" w:themeFill="background1"/>
          <w:lang w:eastAsia="ru-RU"/>
        </w:rPr>
        <w:t xml:space="preserve"> (</w:t>
      </w:r>
      <w:r w:rsidR="00776C51" w:rsidRPr="00776C51">
        <w:rPr>
          <w:rFonts w:ascii="Times New Roman" w:eastAsia="Times New Roman" w:hAnsi="Times New Roman"/>
          <w:sz w:val="28"/>
          <w:szCs w:val="28"/>
          <w:shd w:val="clear" w:color="FFFFFF" w:themeColor="background1" w:fill="FFFFFF" w:themeFill="background1"/>
          <w:lang w:eastAsia="ru-RU"/>
        </w:rPr>
        <w:t>-2,1</w:t>
      </w:r>
      <w:r w:rsidRPr="00776C51">
        <w:rPr>
          <w:rFonts w:ascii="Times New Roman" w:eastAsia="Times New Roman" w:hAnsi="Times New Roman"/>
          <w:sz w:val="28"/>
          <w:szCs w:val="28"/>
          <w:shd w:val="clear" w:color="FFFFFF" w:themeColor="background1" w:fill="FFFFFF" w:themeFill="background1"/>
          <w:lang w:eastAsia="ru-RU"/>
        </w:rPr>
        <w:t>%)</w:t>
      </w:r>
      <w:r w:rsidRPr="00776C5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3CED" w:rsidRDefault="008A4C5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Поднимаемые гражданами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письменных обращениях проблемы связаны с:</w:t>
      </w:r>
    </w:p>
    <w:p w:rsidR="00C93CED" w:rsidRDefault="008A4C5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ненадлежащим содержанием домашних животных (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работой ветеринарной службы (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 xml:space="preserve"> выгула собак (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причинением вреда здоровью граждан вследствие нападения животных (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 угрозой жителям насел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енных пунктов со стороны животных (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правилами содержания домашних животных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(1).</w:t>
      </w:r>
    </w:p>
    <w:p w:rsidR="00C93CED" w:rsidRDefault="00C93CED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ED" w:rsidRDefault="008A4C53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рассмотрения письменных обращений по состоянию на </w:t>
      </w:r>
      <w:r w:rsidR="00776C51">
        <w:rPr>
          <w:rFonts w:ascii="Times New Roman" w:eastAsia="Times New Roman" w:hAnsi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>31</w:t>
      </w:r>
      <w:r>
        <w:rPr>
          <w:rFonts w:ascii="Times New Roman" w:eastAsia="Times New Roman" w:hAnsi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>.</w:t>
      </w:r>
      <w:r w:rsidR="00776C51">
        <w:rPr>
          <w:rFonts w:ascii="Times New Roman" w:eastAsia="Times New Roman" w:hAnsi="Times New Roman"/>
          <w:sz w:val="28"/>
          <w:szCs w:val="28"/>
          <w:highlight w:val="white"/>
          <w:shd w:val="clear" w:color="F2DBDB" w:themeColor="accent2" w:themeTint="33" w:fill="F2DBDB" w:themeFill="accent2" w:themeFillTint="33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8"/>
          <w:highlight w:val="white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93CED" w:rsidRDefault="008A4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 даны разъяснения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3CED" w:rsidRDefault="008A4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находятся на рассмотрении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93CED" w:rsidRDefault="008A4C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 общественной приемной Губернатора области в 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 202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</w:t>
      </w:r>
      <w:r w:rsidR="00776C5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обращения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76C51">
        <w:rPr>
          <w:rFonts w:ascii="Times New Roman" w:eastAsia="Times New Roman" w:hAnsi="Times New Roman"/>
          <w:i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ре 202</w:t>
      </w:r>
      <w:r w:rsidR="00776C51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="00776C51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; в </w:t>
      </w:r>
      <w:r w:rsidR="00776C51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2024 – </w:t>
      </w:r>
      <w:r w:rsidR="00552610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).</w:t>
      </w:r>
    </w:p>
    <w:p w:rsidR="00C93CED" w:rsidRDefault="00C93CED">
      <w:pPr>
        <w:spacing w:after="0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3CED" w:rsidRDefault="008A4C53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sectPr w:rsidR="00C93CED">
      <w:pgSz w:w="11906" w:h="16838"/>
      <w:pgMar w:top="567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C53" w:rsidRDefault="008A4C53">
      <w:pPr>
        <w:spacing w:after="0" w:line="240" w:lineRule="auto"/>
      </w:pPr>
      <w:r>
        <w:separator/>
      </w:r>
    </w:p>
  </w:endnote>
  <w:endnote w:type="continuationSeparator" w:id="0">
    <w:p w:rsidR="008A4C53" w:rsidRDefault="008A4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C53" w:rsidRDefault="008A4C53">
      <w:pPr>
        <w:spacing w:after="0" w:line="240" w:lineRule="auto"/>
      </w:pPr>
      <w:r>
        <w:separator/>
      </w:r>
    </w:p>
  </w:footnote>
  <w:footnote w:type="continuationSeparator" w:id="0">
    <w:p w:rsidR="008A4C53" w:rsidRDefault="008A4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8443C"/>
    <w:multiLevelType w:val="hybridMultilevel"/>
    <w:tmpl w:val="C9C2C9B2"/>
    <w:lvl w:ilvl="0" w:tplc="47784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AEFE46">
      <w:start w:val="1"/>
      <w:numFmt w:val="lowerLetter"/>
      <w:lvlText w:val="%2."/>
      <w:lvlJc w:val="left"/>
      <w:pPr>
        <w:ind w:left="1080" w:hanging="360"/>
      </w:pPr>
    </w:lvl>
    <w:lvl w:ilvl="2" w:tplc="63F06670">
      <w:start w:val="1"/>
      <w:numFmt w:val="lowerRoman"/>
      <w:lvlText w:val="%3."/>
      <w:lvlJc w:val="right"/>
      <w:pPr>
        <w:ind w:left="1800" w:hanging="180"/>
      </w:pPr>
    </w:lvl>
    <w:lvl w:ilvl="3" w:tplc="5EC8B5E0">
      <w:start w:val="1"/>
      <w:numFmt w:val="decimal"/>
      <w:lvlText w:val="%4."/>
      <w:lvlJc w:val="left"/>
      <w:pPr>
        <w:ind w:left="2520" w:hanging="360"/>
      </w:pPr>
    </w:lvl>
    <w:lvl w:ilvl="4" w:tplc="E700B1FC">
      <w:start w:val="1"/>
      <w:numFmt w:val="lowerLetter"/>
      <w:lvlText w:val="%5."/>
      <w:lvlJc w:val="left"/>
      <w:pPr>
        <w:ind w:left="3240" w:hanging="360"/>
      </w:pPr>
    </w:lvl>
    <w:lvl w:ilvl="5" w:tplc="B2E81EB8">
      <w:start w:val="1"/>
      <w:numFmt w:val="lowerRoman"/>
      <w:lvlText w:val="%6."/>
      <w:lvlJc w:val="right"/>
      <w:pPr>
        <w:ind w:left="3960" w:hanging="180"/>
      </w:pPr>
    </w:lvl>
    <w:lvl w:ilvl="6" w:tplc="C1A43010">
      <w:start w:val="1"/>
      <w:numFmt w:val="decimal"/>
      <w:lvlText w:val="%7."/>
      <w:lvlJc w:val="left"/>
      <w:pPr>
        <w:ind w:left="4680" w:hanging="360"/>
      </w:pPr>
    </w:lvl>
    <w:lvl w:ilvl="7" w:tplc="515C9E82">
      <w:start w:val="1"/>
      <w:numFmt w:val="lowerLetter"/>
      <w:lvlText w:val="%8."/>
      <w:lvlJc w:val="left"/>
      <w:pPr>
        <w:ind w:left="5400" w:hanging="360"/>
      </w:pPr>
    </w:lvl>
    <w:lvl w:ilvl="8" w:tplc="6CF0D43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ED"/>
    <w:rsid w:val="00191DA0"/>
    <w:rsid w:val="00552610"/>
    <w:rsid w:val="005766ED"/>
    <w:rsid w:val="00776C51"/>
    <w:rsid w:val="008A4C53"/>
    <w:rsid w:val="00C9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9076"/>
  <w15:docId w15:val="{BB46B984-00B1-4603-95DB-ED5E9DE7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CB8B5-0765-40FC-8BC4-57566290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ветеренарии Новосибирской области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kandiba</dc:creator>
  <cp:keywords/>
  <dc:description/>
  <cp:lastModifiedBy>Гульченко Анна Алексеевна</cp:lastModifiedBy>
  <cp:revision>4</cp:revision>
  <dcterms:created xsi:type="dcterms:W3CDTF">2025-02-04T10:44:00Z</dcterms:created>
  <dcterms:modified xsi:type="dcterms:W3CDTF">2025-02-04T10:45:00Z</dcterms:modified>
</cp:coreProperties>
</file>