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0A" w:rsidRDefault="004E2DE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рассмотрения обращений граждан, поступивших в управление ветеринарии Новосибирской области за </w:t>
      </w:r>
      <w:r w:rsidR="000223EB">
        <w:rPr>
          <w:rFonts w:ascii="Times New Roman" w:eastAsia="Times New Roman" w:hAnsi="Times New Roman"/>
          <w:b/>
          <w:sz w:val="28"/>
          <w:szCs w:val="28"/>
          <w:lang w:eastAsia="ru-RU"/>
        </w:rPr>
        <w:t>апрель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2025 г.</w:t>
      </w:r>
    </w:p>
    <w:p w:rsidR="00A0740A" w:rsidRDefault="00A0740A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740A" w:rsidRDefault="004E2D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–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обращений граждан. Организацию работы с обращениями граждан в управлении ветеринарии Новосибирской области осуществляет заместитель начальника управления ветеринарии Новосибирской области в соответствии с должностным регламентом гражданского служащего.</w:t>
      </w:r>
    </w:p>
    <w:p w:rsidR="00A0740A" w:rsidRDefault="004E2D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проведения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05.02.2025 № 17-НПА «Об утв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ерждении инструкции о порядке организации работы с обращениями граждан в управлении ветеринарии Новосибирской области».</w:t>
      </w:r>
    </w:p>
    <w:p w:rsidR="00A0740A" w:rsidRDefault="004E2DE5">
      <w:pPr>
        <w:shd w:val="clear" w:color="FFFFFF" w:themeColor="background1" w:fill="FFFFFF" w:themeFill="background1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D74FC">
        <w:rPr>
          <w:rFonts w:ascii="Times New Roman" w:eastAsia="Times New Roman" w:hAnsi="Times New Roman"/>
          <w:sz w:val="28"/>
          <w:szCs w:val="28"/>
          <w:lang w:eastAsia="ru-RU"/>
        </w:rPr>
        <w:t>апрел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2025 года непосредственно в адрес начальника управления ветеринарии Новосибирской области поступило </w:t>
      </w:r>
      <w:r w:rsidR="008D74FC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8D74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граждан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>апрел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2024 года - 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>апрел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 2025 года - 6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A0740A" w:rsidRDefault="004E2D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D74FC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</w:t>
      </w:r>
      <w:r w:rsidR="008D74FC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8D74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>апрел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2024 года - 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2025 года - 6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 форме электронного документа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 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(в 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2024 года - 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2025 года - 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740A" w:rsidRDefault="004E2D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на личных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емах начальника управления ветеринарии Новосибирской области в </w:t>
      </w:r>
      <w:r w:rsidR="008D74FC">
        <w:rPr>
          <w:rFonts w:ascii="Times New Roman" w:eastAsia="Times New Roman" w:hAnsi="Times New Roman"/>
          <w:sz w:val="28"/>
          <w:szCs w:val="28"/>
          <w:lang w:eastAsia="ru-RU"/>
        </w:rPr>
        <w:t>апрел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посетителей не зарегистрировано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2024 года - 0, в 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2025 года - 0)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740A" w:rsidRDefault="004E2D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 устных запросов 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ообщений в телефонную службу управления ветеринарии Новосибирской области не зареги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стрировано (в том числе в форме СМС-сообщений)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2024 года - 0, в 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>март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 2025 года - 0).</w:t>
      </w:r>
    </w:p>
    <w:p w:rsidR="00A0740A" w:rsidRDefault="004E2D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обращений, сообщений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8D74FC">
        <w:rPr>
          <w:rFonts w:ascii="Times New Roman" w:eastAsia="Times New Roman" w:hAnsi="Times New Roman"/>
          <w:bCs/>
          <w:sz w:val="28"/>
          <w:szCs w:val="28"/>
          <w:lang w:eastAsia="ru-RU"/>
        </w:rPr>
        <w:t>апрелем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D74FC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увеличилось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8D74FC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>(</w:t>
      </w:r>
      <w:r w:rsidR="008D74FC">
        <w:rPr>
          <w:rFonts w:ascii="Times New Roman" w:eastAsia="Times New Roman" w:hAnsi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>13,7</w:t>
      </w:r>
      <w:r>
        <w:rPr>
          <w:rFonts w:ascii="Times New Roman" w:eastAsia="Times New Roman" w:hAnsi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>%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8D74FC">
        <w:rPr>
          <w:rFonts w:ascii="Times New Roman" w:eastAsia="Times New Roman" w:hAnsi="Times New Roman"/>
          <w:i/>
          <w:sz w:val="28"/>
          <w:szCs w:val="28"/>
          <w:lang w:eastAsia="ru-RU"/>
        </w:rPr>
        <w:t>марто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 2025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D74FC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увеличилось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8D74FC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 (</w:t>
      </w:r>
      <w:r w:rsidR="008D74FC">
        <w:rPr>
          <w:rFonts w:ascii="Times New Roman" w:eastAsia="Times New Roman" w:hAnsi="Times New Roman"/>
          <w:sz w:val="28"/>
          <w:szCs w:val="28"/>
          <w:shd w:val="clear" w:color="FFFFFF" w:themeColor="background1" w:fill="FFFFFF" w:themeFill="background1"/>
          <w:lang w:eastAsia="ru-RU"/>
        </w:rPr>
        <w:t>51,7</w:t>
      </w:r>
      <w:r>
        <w:rPr>
          <w:rFonts w:ascii="Times New Roman" w:eastAsia="Times New Roman" w:hAnsi="Times New Roman"/>
          <w:sz w:val="28"/>
          <w:szCs w:val="28"/>
          <w:shd w:val="clear" w:color="FFFFFF" w:themeColor="background1" w:fill="FFFFFF" w:themeFill="background1"/>
          <w:lang w:eastAsia="ru-RU"/>
        </w:rPr>
        <w:t>%)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740A" w:rsidRDefault="004E2DE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Поднимаемые гражданами в письменных обращениях проблемы связаны с:</w:t>
      </w:r>
    </w:p>
    <w:p w:rsidR="00A0740A" w:rsidRDefault="004E2DE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ненадлежащим содержанием домашних животных (</w:t>
      </w:r>
      <w:r w:rsidR="008D74F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работой ветеринарной службы (</w:t>
      </w:r>
      <w:r w:rsidR="008D74F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отловом животных (</w:t>
      </w:r>
      <w:r w:rsidR="008D74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причинением вреда здоровью граждан вследствие нападения животных (4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угрозой жителям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населенных пунктов со стороны животных 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нарушениями в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ветеринарии (5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животноводством 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содержанием домашних животных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1), правилами содержания домашних животных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прочие (3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0740A" w:rsidRDefault="004E2DE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>
        <w:rPr>
          <w:rFonts w:ascii="Times New Roman" w:eastAsia="Times New Roman" w:hAnsi="Times New Roman"/>
          <w:sz w:val="28"/>
          <w:szCs w:val="28"/>
          <w:highlight w:val="white"/>
          <w:shd w:val="clear" w:color="F2DBDB" w:themeColor="accent2" w:themeTint="33" w:fill="F2DBDB" w:themeFill="accent2" w:themeFillTint="33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highlight w:val="white"/>
          <w:shd w:val="clear" w:color="F2DBDB" w:themeColor="accent2" w:themeTint="33" w:fill="F2DBDB" w:themeFill="accent2" w:themeFillTint="33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2025:</w:t>
      </w:r>
    </w:p>
    <w:p w:rsidR="00A0740A" w:rsidRDefault="004E2D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даны разъ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яснения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740A" w:rsidRDefault="004E2D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740A" w:rsidRDefault="004E2D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общественной приемной Губернатора области в апрел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2025 года поступило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 апреле 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024 – 11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 в март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 2025 – 223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  <w:bookmarkStart w:id="0" w:name="_GoBack"/>
      <w:bookmarkEnd w:id="0"/>
    </w:p>
    <w:p w:rsidR="00A0740A" w:rsidRDefault="00A0740A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40A" w:rsidRDefault="004E2DE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sectPr w:rsidR="00A0740A">
      <w:pgSz w:w="11906" w:h="16838"/>
      <w:pgMar w:top="567" w:right="85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0A" w:rsidRDefault="004E2DE5">
      <w:pPr>
        <w:spacing w:after="0" w:line="240" w:lineRule="auto"/>
      </w:pPr>
      <w:r>
        <w:separator/>
      </w:r>
    </w:p>
  </w:endnote>
  <w:endnote w:type="continuationSeparator" w:id="0">
    <w:p w:rsidR="00A0740A" w:rsidRDefault="004E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0A" w:rsidRDefault="004E2DE5">
      <w:pPr>
        <w:spacing w:after="0" w:line="240" w:lineRule="auto"/>
      </w:pPr>
      <w:r>
        <w:separator/>
      </w:r>
    </w:p>
  </w:footnote>
  <w:footnote w:type="continuationSeparator" w:id="0">
    <w:p w:rsidR="00A0740A" w:rsidRDefault="004E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8773D"/>
    <w:multiLevelType w:val="hybridMultilevel"/>
    <w:tmpl w:val="87C61C38"/>
    <w:lvl w:ilvl="0" w:tplc="041E7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A6E292">
      <w:start w:val="1"/>
      <w:numFmt w:val="lowerLetter"/>
      <w:lvlText w:val="%2."/>
      <w:lvlJc w:val="left"/>
      <w:pPr>
        <w:ind w:left="1080" w:hanging="360"/>
      </w:pPr>
    </w:lvl>
    <w:lvl w:ilvl="2" w:tplc="754A0EF8">
      <w:start w:val="1"/>
      <w:numFmt w:val="lowerRoman"/>
      <w:lvlText w:val="%3."/>
      <w:lvlJc w:val="right"/>
      <w:pPr>
        <w:ind w:left="1800" w:hanging="180"/>
      </w:pPr>
    </w:lvl>
    <w:lvl w:ilvl="3" w:tplc="8CC26020">
      <w:start w:val="1"/>
      <w:numFmt w:val="decimal"/>
      <w:lvlText w:val="%4."/>
      <w:lvlJc w:val="left"/>
      <w:pPr>
        <w:ind w:left="2520" w:hanging="360"/>
      </w:pPr>
    </w:lvl>
    <w:lvl w:ilvl="4" w:tplc="19403502">
      <w:start w:val="1"/>
      <w:numFmt w:val="lowerLetter"/>
      <w:lvlText w:val="%5."/>
      <w:lvlJc w:val="left"/>
      <w:pPr>
        <w:ind w:left="3240" w:hanging="360"/>
      </w:pPr>
    </w:lvl>
    <w:lvl w:ilvl="5" w:tplc="0EFC540E">
      <w:start w:val="1"/>
      <w:numFmt w:val="lowerRoman"/>
      <w:lvlText w:val="%6."/>
      <w:lvlJc w:val="right"/>
      <w:pPr>
        <w:ind w:left="3960" w:hanging="180"/>
      </w:pPr>
    </w:lvl>
    <w:lvl w:ilvl="6" w:tplc="0310D708">
      <w:start w:val="1"/>
      <w:numFmt w:val="decimal"/>
      <w:lvlText w:val="%7."/>
      <w:lvlJc w:val="left"/>
      <w:pPr>
        <w:ind w:left="4680" w:hanging="360"/>
      </w:pPr>
    </w:lvl>
    <w:lvl w:ilvl="7" w:tplc="E5E40F52">
      <w:start w:val="1"/>
      <w:numFmt w:val="lowerLetter"/>
      <w:lvlText w:val="%8."/>
      <w:lvlJc w:val="left"/>
      <w:pPr>
        <w:ind w:left="5400" w:hanging="360"/>
      </w:pPr>
    </w:lvl>
    <w:lvl w:ilvl="8" w:tplc="3D10FC2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0A"/>
    <w:rsid w:val="000223EB"/>
    <w:rsid w:val="004E2DE5"/>
    <w:rsid w:val="008D74FC"/>
    <w:rsid w:val="00A0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5A3D"/>
  <w15:docId w15:val="{9FA7B812-4EB9-470C-8667-357040C9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1709B-7CF8-4A8D-8DA5-2DBBD3DF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Гульченко Анна Алексеевна</cp:lastModifiedBy>
  <cp:revision>4</cp:revision>
  <dcterms:created xsi:type="dcterms:W3CDTF">2025-03-01T07:08:00Z</dcterms:created>
  <dcterms:modified xsi:type="dcterms:W3CDTF">2025-05-05T03:16:00Z</dcterms:modified>
</cp:coreProperties>
</file>